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after="0" w:before="0" w:lineRule="auto"/>
        <w:jc w:val="both"/>
        <w:rPr>
          <w:rFonts w:ascii="Jost Light" w:cs="Jost Light" w:eastAsia="Jost Light" w:hAnsi="Jost Light"/>
          <w:sz w:val="26"/>
          <w:szCs w:val="26"/>
        </w:rPr>
      </w:pPr>
      <w:r w:rsidDel="00000000" w:rsidR="00000000" w:rsidRPr="00000000">
        <w:rPr>
          <w:rFonts w:ascii="Jost" w:cs="Jost" w:eastAsia="Jost" w:hAnsi="Jost"/>
          <w:b w:val="1"/>
          <w:sz w:val="26"/>
          <w:szCs w:val="26"/>
          <w:rtl w:val="0"/>
        </w:rPr>
        <w:t xml:space="preserve">“Comment se présente la centralité de St. Barthélemy d’Anjou ?”</w:t>
      </w:r>
      <w:r w:rsidDel="00000000" w:rsidR="00000000" w:rsidRPr="00000000">
        <w:rPr>
          <w:rFonts w:ascii="Jost" w:cs="Jost" w:eastAsia="Jost" w:hAnsi="Jost"/>
          <w:sz w:val="26"/>
          <w:szCs w:val="26"/>
          <w:rtl w:val="0"/>
        </w:rPr>
        <w:t xml:space="preserve"> </w:t>
      </w:r>
      <w:r w:rsidDel="00000000" w:rsidR="00000000" w:rsidRPr="00000000">
        <w:rPr>
          <w:rFonts w:ascii="Jost Light" w:cs="Jost Light" w:eastAsia="Jost Light" w:hAnsi="Jost Light"/>
          <w:sz w:val="26"/>
          <w:szCs w:val="26"/>
          <w:rtl w:val="0"/>
        </w:rPr>
        <w:t xml:space="preserve">(hypothétique)</w:t>
      </w:r>
    </w:p>
    <w:p w:rsidR="00000000" w:rsidDel="00000000" w:rsidP="00000000" w:rsidRDefault="00000000" w:rsidRPr="00000000" w14:paraId="00000002">
      <w:pPr>
        <w:spacing w:after="0" w:before="0" w:lineRule="auto"/>
        <w:jc w:val="both"/>
        <w:rPr>
          <w:rFonts w:ascii="Jost Light" w:cs="Jost Light" w:eastAsia="Jost Light" w:hAnsi="Jost Light"/>
          <w:sz w:val="24"/>
          <w:szCs w:val="24"/>
        </w:rPr>
      </w:pPr>
      <w:r w:rsidDel="00000000" w:rsidR="00000000" w:rsidRPr="00000000">
        <w:rPr>
          <w:rtl w:val="0"/>
        </w:rPr>
      </w:r>
    </w:p>
    <w:p w:rsidR="00000000" w:rsidDel="00000000" w:rsidP="00000000" w:rsidRDefault="00000000" w:rsidRPr="00000000" w14:paraId="00000003">
      <w:pPr>
        <w:spacing w:after="0" w:before="0" w:lineRule="auto"/>
        <w:jc w:val="both"/>
        <w:rPr>
          <w:rFonts w:ascii="Jost" w:cs="Jost" w:eastAsia="Jost" w:hAnsi="Jost"/>
          <w:sz w:val="24"/>
          <w:szCs w:val="24"/>
        </w:rPr>
      </w:pPr>
      <w:r w:rsidDel="00000000" w:rsidR="00000000" w:rsidRPr="00000000">
        <w:rPr>
          <w:rFonts w:ascii="Jost" w:cs="Jost" w:eastAsia="Jost" w:hAnsi="Jost"/>
          <w:sz w:val="24"/>
          <w:szCs w:val="24"/>
          <w:rtl w:val="0"/>
        </w:rPr>
        <w:t xml:space="preserve">Les centralités sont des lieux de regroupement, dans un périmètre relativement restreint, de commerces, d’équipements collectifs, de services et de logements, qu’elles soient politiques, économiques, religieuses, symboliques ou sociales. Elles sont donc principalement caractérisées par une diversité de fonctions et sont généralement constituées d’aménagements qui leur confèrent une certaine urbanité (importance et qualité de l’espace public, bâti plus dense, etc.) et sont plus propices à engendrer une animation urbaine. Elles peuvent en outre comporter des éléments patrimoniaux et/ou identitaires (église, fontaine, arts urbains, etc.).</w:t>
      </w:r>
    </w:p>
    <w:p w:rsidR="00000000" w:rsidDel="00000000" w:rsidP="00000000" w:rsidRDefault="00000000" w:rsidRPr="00000000" w14:paraId="00000004">
      <w:pPr>
        <w:spacing w:after="0" w:before="0" w:lineRule="auto"/>
        <w:jc w:val="both"/>
        <w:rPr>
          <w:rFonts w:ascii="Jost" w:cs="Jost" w:eastAsia="Jost" w:hAnsi="Jost"/>
          <w:sz w:val="24"/>
          <w:szCs w:val="24"/>
        </w:rPr>
      </w:pPr>
      <w:r w:rsidDel="00000000" w:rsidR="00000000" w:rsidRPr="00000000">
        <w:rPr>
          <w:rFonts w:ascii="Jost" w:cs="Jost" w:eastAsia="Jost" w:hAnsi="Jost"/>
          <w:sz w:val="24"/>
          <w:szCs w:val="24"/>
          <w:rtl w:val="0"/>
        </w:rPr>
        <w:t xml:space="preserve">L’ensemble de ces caractéristiques leurs confèrent une attractivité vis-à-vis des espaces péricentraux et périphériques. Chacune de ces centralités possède un rayonnement différent qui dépend essentiellement du niveau d’attractivité des services proposés par les commerces et équipements qui les composent.</w:t>
      </w:r>
    </w:p>
    <w:p w:rsidR="00000000" w:rsidDel="00000000" w:rsidP="00000000" w:rsidRDefault="00000000" w:rsidRPr="00000000" w14:paraId="00000005">
      <w:pPr>
        <w:spacing w:after="0" w:before="0" w:lineRule="auto"/>
        <w:jc w:val="both"/>
        <w:rPr>
          <w:rFonts w:ascii="Jost" w:cs="Jost" w:eastAsia="Jost" w:hAnsi="Jost"/>
          <w:sz w:val="24"/>
          <w:szCs w:val="24"/>
        </w:rPr>
      </w:pPr>
      <w:r w:rsidDel="00000000" w:rsidR="00000000" w:rsidRPr="00000000">
        <w:rPr>
          <w:rtl w:val="0"/>
        </w:rPr>
      </w:r>
    </w:p>
    <w:p w:rsidR="00000000" w:rsidDel="00000000" w:rsidP="00000000" w:rsidRDefault="00000000" w:rsidRPr="00000000" w14:paraId="00000006">
      <w:pPr>
        <w:spacing w:after="0" w:before="0" w:line="355" w:lineRule="auto"/>
        <w:ind w:right="103"/>
        <w:jc w:val="both"/>
        <w:rPr>
          <w:rFonts w:ascii="Jost" w:cs="Jost" w:eastAsia="Jost" w:hAnsi="Jost"/>
          <w:sz w:val="24"/>
          <w:szCs w:val="24"/>
        </w:rPr>
      </w:pPr>
      <w:r w:rsidDel="00000000" w:rsidR="00000000" w:rsidRPr="00000000">
        <w:rPr>
          <w:rFonts w:ascii="Jost" w:cs="Jost" w:eastAsia="Jost" w:hAnsi="Jost"/>
          <w:sz w:val="24"/>
          <w:szCs w:val="24"/>
          <w:rtl w:val="0"/>
        </w:rPr>
        <w:t xml:space="preserve">Dictionnaire Larousse = le centre-ville est « le quartier central d’une ville, le plus animé ou le plus ancien »</w:t>
      </w:r>
    </w:p>
    <w:p w:rsidR="00000000" w:rsidDel="00000000" w:rsidP="00000000" w:rsidRDefault="00000000" w:rsidRPr="00000000" w14:paraId="00000007">
      <w:pPr>
        <w:widowControl w:val="0"/>
        <w:tabs>
          <w:tab w:val="left" w:leader="none" w:pos="787"/>
        </w:tabs>
        <w:spacing w:after="0" w:before="0" w:line="352" w:lineRule="auto"/>
        <w:ind w:right="111"/>
        <w:jc w:val="both"/>
        <w:rPr>
          <w:rFonts w:ascii="Jost" w:cs="Jost" w:eastAsia="Jost" w:hAnsi="Jost"/>
          <w:sz w:val="24"/>
          <w:szCs w:val="24"/>
        </w:rPr>
      </w:pPr>
      <w:r w:rsidDel="00000000" w:rsidR="00000000" w:rsidRPr="00000000">
        <w:rPr>
          <w:rFonts w:ascii="Jost" w:cs="Jost" w:eastAsia="Jost" w:hAnsi="Jost"/>
          <w:sz w:val="24"/>
          <w:szCs w:val="24"/>
          <w:rtl w:val="0"/>
        </w:rPr>
        <w:t xml:space="preserve">Il faut aussi tenir compte du fait que le centre peut avoir </w:t>
      </w:r>
      <w:r w:rsidDel="00000000" w:rsidR="00000000" w:rsidRPr="00000000">
        <w:rPr>
          <w:rFonts w:ascii="Jost" w:cs="Jost" w:eastAsia="Jost" w:hAnsi="Jost"/>
          <w:i w:val="1"/>
          <w:sz w:val="24"/>
          <w:szCs w:val="24"/>
          <w:rtl w:val="0"/>
        </w:rPr>
        <w:t xml:space="preserve">« été choisi en fonction de préoccupations d’une autre époque : défense, marché, administration » </w:t>
      </w:r>
      <w:r w:rsidDel="00000000" w:rsidR="00000000" w:rsidRPr="00000000">
        <w:rPr>
          <w:rtl w:val="0"/>
        </w:rPr>
      </w:r>
    </w:p>
    <w:p w:rsidR="00000000" w:rsidDel="00000000" w:rsidP="00000000" w:rsidRDefault="00000000" w:rsidRPr="00000000" w14:paraId="00000008">
      <w:pPr>
        <w:widowControl w:val="0"/>
        <w:tabs>
          <w:tab w:val="left" w:leader="none" w:pos="787"/>
        </w:tabs>
        <w:spacing w:after="0" w:before="0" w:line="240" w:lineRule="auto"/>
        <w:ind w:right="111"/>
        <w:jc w:val="both"/>
        <w:rPr>
          <w:rFonts w:ascii="Jost Light" w:cs="Jost Light" w:eastAsia="Jost Light" w:hAnsi="Jost Light"/>
        </w:rPr>
      </w:pPr>
      <w:r w:rsidDel="00000000" w:rsidR="00000000" w:rsidRPr="00000000">
        <w:rPr>
          <w:rFonts w:ascii="Jost Light" w:cs="Jost Light" w:eastAsia="Jost Light" w:hAnsi="Jost Light"/>
          <w:rtl w:val="0"/>
        </w:rPr>
        <w:t xml:space="preserve">CHOAY F., MERLIN P., </w:t>
      </w:r>
      <w:r w:rsidDel="00000000" w:rsidR="00000000" w:rsidRPr="00000000">
        <w:rPr>
          <w:rFonts w:ascii="Jost Light" w:cs="Jost Light" w:eastAsia="Jost Light" w:hAnsi="Jost Light"/>
          <w:i w:val="1"/>
          <w:rtl w:val="0"/>
        </w:rPr>
        <w:t xml:space="preserve">Dictionnaire de l’urbanisme et de l’aménagement, </w:t>
      </w:r>
      <w:r w:rsidDel="00000000" w:rsidR="00000000" w:rsidRPr="00000000">
        <w:rPr>
          <w:rFonts w:ascii="Jost Light" w:cs="Jost Light" w:eastAsia="Jost Light" w:hAnsi="Jost Light"/>
          <w:rtl w:val="0"/>
        </w:rPr>
        <w:t xml:space="preserve">p. 863.</w:t>
      </w:r>
    </w:p>
    <w:p w:rsidR="00000000" w:rsidDel="00000000" w:rsidP="00000000" w:rsidRDefault="00000000" w:rsidRPr="00000000" w14:paraId="00000009">
      <w:pPr>
        <w:widowControl w:val="0"/>
        <w:tabs>
          <w:tab w:val="left" w:leader="none" w:pos="787"/>
        </w:tabs>
        <w:spacing w:after="0" w:before="0" w:line="240" w:lineRule="auto"/>
        <w:ind w:right="111"/>
        <w:jc w:val="both"/>
        <w:rPr>
          <w:rFonts w:ascii="Jost Light" w:cs="Jost Light" w:eastAsia="Jost Light" w:hAnsi="Jost Light"/>
        </w:rPr>
      </w:pPr>
      <w:r w:rsidDel="00000000" w:rsidR="00000000" w:rsidRPr="00000000">
        <w:rPr>
          <w:rtl w:val="0"/>
        </w:rPr>
      </w:r>
    </w:p>
    <w:p w:rsidR="00000000" w:rsidDel="00000000" w:rsidP="00000000" w:rsidRDefault="00000000" w:rsidRPr="00000000" w14:paraId="0000000A">
      <w:pPr>
        <w:widowControl w:val="0"/>
        <w:tabs>
          <w:tab w:val="left" w:leader="none" w:pos="787"/>
        </w:tabs>
        <w:spacing w:after="0" w:before="0" w:line="352" w:lineRule="auto"/>
        <w:ind w:right="111"/>
        <w:jc w:val="both"/>
        <w:rPr>
          <w:rFonts w:ascii="Jost Light" w:cs="Jost Light" w:eastAsia="Jost Light" w:hAnsi="Jost Light"/>
        </w:rPr>
      </w:pPr>
      <w:r w:rsidDel="00000000" w:rsidR="00000000" w:rsidRPr="00000000">
        <w:rPr>
          <w:rFonts w:ascii="Jost Light" w:cs="Jost Light" w:eastAsia="Jost Light" w:hAnsi="Jost Light"/>
          <w:rtl w:val="0"/>
        </w:rPr>
        <w:t xml:space="preserve">François Ascher, Marc Wiel et Lucie Tortel proposent une définition du centre-ville qui permet</w:t>
      </w:r>
    </w:p>
    <w:p w:rsidR="00000000" w:rsidDel="00000000" w:rsidP="00000000" w:rsidRDefault="00000000" w:rsidRPr="00000000" w14:paraId="0000000B">
      <w:pPr>
        <w:widowControl w:val="0"/>
        <w:tabs>
          <w:tab w:val="left" w:leader="none" w:pos="787"/>
        </w:tabs>
        <w:spacing w:after="0" w:before="0" w:line="352" w:lineRule="auto"/>
        <w:ind w:right="111"/>
        <w:jc w:val="both"/>
        <w:rPr>
          <w:rFonts w:ascii="Jost Light" w:cs="Jost Light" w:eastAsia="Jost Light" w:hAnsi="Jost Light"/>
        </w:rPr>
      </w:pPr>
      <w:r w:rsidDel="00000000" w:rsidR="00000000" w:rsidRPr="00000000">
        <w:rPr>
          <w:rFonts w:ascii="Jost Light" w:cs="Jost Light" w:eastAsia="Jost Light" w:hAnsi="Jost Light"/>
          <w:rtl w:val="0"/>
        </w:rPr>
        <w:t xml:space="preserve">d’embrasser ce qui fait centralité</w:t>
      </w:r>
    </w:p>
    <w:p w:rsidR="00000000" w:rsidDel="00000000" w:rsidP="00000000" w:rsidRDefault="00000000" w:rsidRPr="00000000" w14:paraId="0000000C">
      <w:pPr>
        <w:widowControl w:val="0"/>
        <w:tabs>
          <w:tab w:val="left" w:leader="none" w:pos="787"/>
        </w:tabs>
        <w:spacing w:after="0" w:before="0" w:line="352" w:lineRule="auto"/>
        <w:ind w:right="111"/>
        <w:jc w:val="both"/>
        <w:rPr>
          <w:rFonts w:ascii="Jost Light" w:cs="Jost Light" w:eastAsia="Jost Light" w:hAnsi="Jost Light"/>
          <w:sz w:val="24"/>
          <w:szCs w:val="24"/>
        </w:rPr>
      </w:pPr>
      <w:r w:rsidDel="00000000" w:rsidR="00000000" w:rsidRPr="00000000">
        <w:rPr>
          <w:rFonts w:ascii="Jost" w:cs="Jost" w:eastAsia="Jost" w:hAnsi="Jost"/>
          <w:sz w:val="24"/>
          <w:szCs w:val="24"/>
          <w:rtl w:val="0"/>
        </w:rPr>
        <w:t xml:space="preserve">« lieu de vie, d’échanges et de mouvements, qui permettrait un brassage social, un regroupement d’activités, d’équipements et de services avec un pouvoir d’attraction et de diffusion plus ou moins étendu, relié au reste de l’espace par un réseau de voies et de dessertes collectives »</w:t>
      </w:r>
      <w:r w:rsidDel="00000000" w:rsidR="00000000" w:rsidRPr="00000000">
        <w:rPr>
          <w:rtl w:val="0"/>
        </w:rPr>
      </w:r>
    </w:p>
    <w:p w:rsidR="00000000" w:rsidDel="00000000" w:rsidP="00000000" w:rsidRDefault="00000000" w:rsidRPr="00000000" w14:paraId="0000000D">
      <w:pPr>
        <w:spacing w:after="0" w:before="0" w:lineRule="auto"/>
        <w:jc w:val="both"/>
        <w:rPr>
          <w:rFonts w:ascii="Jost" w:cs="Jost" w:eastAsia="Jost" w:hAnsi="Jost"/>
          <w:sz w:val="24"/>
          <w:szCs w:val="24"/>
        </w:rPr>
      </w:pPr>
      <w:r w:rsidDel="00000000" w:rsidR="00000000" w:rsidRPr="00000000">
        <w:rPr>
          <w:rtl w:val="0"/>
        </w:rPr>
      </w:r>
    </w:p>
    <w:p w:rsidR="00000000" w:rsidDel="00000000" w:rsidP="00000000" w:rsidRDefault="00000000" w:rsidRPr="00000000" w14:paraId="0000000E">
      <w:pPr>
        <w:spacing w:after="0" w:before="0" w:line="360" w:lineRule="auto"/>
        <w:jc w:val="both"/>
        <w:rPr>
          <w:rFonts w:ascii="Jost" w:cs="Jost" w:eastAsia="Jost" w:hAnsi="Jost"/>
          <w:i w:val="1"/>
          <w:sz w:val="24"/>
          <w:szCs w:val="24"/>
        </w:rPr>
      </w:pPr>
      <w:r w:rsidDel="00000000" w:rsidR="00000000" w:rsidRPr="00000000">
        <w:rPr>
          <w:rFonts w:ascii="Jost" w:cs="Jost" w:eastAsia="Jost" w:hAnsi="Jost"/>
          <w:sz w:val="24"/>
          <w:szCs w:val="24"/>
          <w:rtl w:val="0"/>
        </w:rPr>
        <w:t xml:space="preserve">Jean-Pierre Lévy recommandait d’ailleurs d’aborder la question des centres par celles des centralités et de ne pas s’enfermer dans une vision spatiale (au sens géométrique ou morphologique du centre). L’approche par les centralités permet en effet de prendre en compte le fait que le centre-ville n’est pas qu’un ensemble de formes urbaines et une zone sur la carte, mais aussi une construction sociale.</w:t>
      </w:r>
      <w:r w:rsidDel="00000000" w:rsidR="00000000" w:rsidRPr="00000000">
        <w:rPr>
          <w:rtl w:val="0"/>
        </w:rPr>
      </w:r>
    </w:p>
    <w:p w:rsidR="00000000" w:rsidDel="00000000" w:rsidP="00000000" w:rsidRDefault="00000000" w:rsidRPr="00000000" w14:paraId="0000000F">
      <w:pPr>
        <w:spacing w:after="0" w:before="0" w:lineRule="auto"/>
        <w:jc w:val="both"/>
        <w:rPr>
          <w:rFonts w:ascii="Jost" w:cs="Jost" w:eastAsia="Jost" w:hAnsi="Jost"/>
          <w:sz w:val="24"/>
          <w:szCs w:val="24"/>
        </w:rPr>
      </w:pPr>
      <w:r w:rsidDel="00000000" w:rsidR="00000000" w:rsidRPr="00000000">
        <w:rPr>
          <w:rtl w:val="0"/>
        </w:rPr>
      </w:r>
    </w:p>
    <w:p w:rsidR="00000000" w:rsidDel="00000000" w:rsidP="00000000" w:rsidRDefault="00000000" w:rsidRPr="00000000" w14:paraId="00000010">
      <w:pPr>
        <w:spacing w:after="0" w:before="0" w:lineRule="auto"/>
        <w:jc w:val="both"/>
        <w:rPr>
          <w:rFonts w:ascii="Jost" w:cs="Jost" w:eastAsia="Jost" w:hAnsi="Jost"/>
          <w:sz w:val="24"/>
          <w:szCs w:val="24"/>
        </w:rPr>
      </w:pPr>
      <w:r w:rsidDel="00000000" w:rsidR="00000000" w:rsidRPr="00000000">
        <w:rPr>
          <w:rtl w:val="0"/>
        </w:rPr>
      </w:r>
    </w:p>
    <w:p w:rsidR="00000000" w:rsidDel="00000000" w:rsidP="00000000" w:rsidRDefault="00000000" w:rsidRPr="00000000" w14:paraId="00000011">
      <w:pPr>
        <w:spacing w:after="0" w:before="0" w:lineRule="auto"/>
        <w:jc w:val="both"/>
        <w:rPr>
          <w:rFonts w:ascii="Jost" w:cs="Jost" w:eastAsia="Jost" w:hAnsi="Jost"/>
          <w:sz w:val="24"/>
          <w:szCs w:val="24"/>
        </w:rPr>
      </w:pPr>
      <w:r w:rsidDel="00000000" w:rsidR="00000000" w:rsidRPr="00000000">
        <w:rPr>
          <w:rtl w:val="0"/>
        </w:rPr>
      </w:r>
    </w:p>
    <w:p w:rsidR="00000000" w:rsidDel="00000000" w:rsidP="00000000" w:rsidRDefault="00000000" w:rsidRPr="00000000" w14:paraId="00000012">
      <w:pPr>
        <w:spacing w:after="0" w:before="0" w:lineRule="auto"/>
        <w:jc w:val="both"/>
        <w:rPr>
          <w:rFonts w:ascii="Jost" w:cs="Jost" w:eastAsia="Jost" w:hAnsi="Jost"/>
          <w:sz w:val="24"/>
          <w:szCs w:val="24"/>
        </w:rPr>
      </w:pPr>
      <w:r w:rsidDel="00000000" w:rsidR="00000000" w:rsidRPr="00000000">
        <w:rPr>
          <w:rFonts w:ascii="Jost" w:cs="Jost" w:eastAsia="Jost" w:hAnsi="Jost"/>
          <w:sz w:val="24"/>
          <w:szCs w:val="24"/>
          <w:rtl w:val="0"/>
        </w:rPr>
        <w:t xml:space="preserve">La centralité de St. Barth des services attractifs pour les habitants de plusieurs quartiers ou de plusieurs communes (offre commerciale complète et diversifiée, grands équipements, etc.).</w:t>
      </w:r>
    </w:p>
    <w:p w:rsidR="00000000" w:rsidDel="00000000" w:rsidP="00000000" w:rsidRDefault="00000000" w:rsidRPr="00000000" w14:paraId="00000013">
      <w:pPr>
        <w:spacing w:after="0" w:before="0" w:lineRule="auto"/>
        <w:jc w:val="both"/>
        <w:rPr>
          <w:rFonts w:ascii="Jost" w:cs="Jost" w:eastAsia="Jost" w:hAnsi="Jost"/>
          <w:sz w:val="24"/>
          <w:szCs w:val="24"/>
        </w:rPr>
      </w:pPr>
      <w:r w:rsidDel="00000000" w:rsidR="00000000" w:rsidRPr="00000000">
        <w:rPr>
          <w:rtl w:val="0"/>
        </w:rPr>
      </w:r>
    </w:p>
    <w:p w:rsidR="00000000" w:rsidDel="00000000" w:rsidP="00000000" w:rsidRDefault="00000000" w:rsidRPr="00000000" w14:paraId="00000014">
      <w:pPr>
        <w:spacing w:after="0" w:before="0" w:lineRule="auto"/>
        <w:jc w:val="both"/>
        <w:rPr>
          <w:rFonts w:ascii="Jost" w:cs="Jost" w:eastAsia="Jost" w:hAnsi="Jost"/>
          <w:sz w:val="24"/>
          <w:szCs w:val="24"/>
        </w:rPr>
      </w:pPr>
      <w:r w:rsidDel="00000000" w:rsidR="00000000" w:rsidRPr="00000000">
        <w:rPr>
          <w:rFonts w:ascii="Jost" w:cs="Jost" w:eastAsia="Jost" w:hAnsi="Jost"/>
          <w:sz w:val="24"/>
          <w:szCs w:val="24"/>
        </w:rPr>
        <w:drawing>
          <wp:inline distB="114300" distT="114300" distL="114300" distR="114300">
            <wp:extent cx="2525441" cy="3376931"/>
            <wp:effectExtent b="0" l="0" r="0" t="0"/>
            <wp:docPr id="3"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525441" cy="3376931"/>
                    </a:xfrm>
                    <a:prstGeom prst="rect"/>
                    <a:ln/>
                  </pic:spPr>
                </pic:pic>
              </a:graphicData>
            </a:graphic>
          </wp:inline>
        </w:drawing>
      </w:r>
      <w:r w:rsidDel="00000000" w:rsidR="00000000" w:rsidRPr="00000000">
        <w:rPr>
          <w:rFonts w:ascii="Jost" w:cs="Jost" w:eastAsia="Jost" w:hAnsi="Jost"/>
          <w:sz w:val="24"/>
          <w:szCs w:val="24"/>
        </w:rPr>
        <w:drawing>
          <wp:inline distB="114300" distT="114300" distL="114300" distR="114300">
            <wp:extent cx="3725588" cy="3716366"/>
            <wp:effectExtent b="0" l="0" r="0" t="0"/>
            <wp:docPr id="2"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3725588" cy="3716366"/>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spacing w:after="0" w:before="0" w:lineRule="auto"/>
        <w:jc w:val="both"/>
        <w:rPr>
          <w:rFonts w:ascii="Jost Light" w:cs="Jost Light" w:eastAsia="Jost Light" w:hAnsi="Jost Light"/>
          <w:i w:val="1"/>
        </w:rPr>
      </w:pPr>
      <w:r w:rsidDel="00000000" w:rsidR="00000000" w:rsidRPr="00000000">
        <w:rPr>
          <w:rFonts w:ascii="Jost Light" w:cs="Jost Light" w:eastAsia="Jost Light" w:hAnsi="Jost Light"/>
          <w:i w:val="1"/>
          <w:rtl w:val="0"/>
        </w:rPr>
        <w:t xml:space="preserve">Carte de la centralité de St. Barthélemy d’Anjou (selon le PLUI d’Angers)</w:t>
      </w:r>
    </w:p>
    <w:p w:rsidR="00000000" w:rsidDel="00000000" w:rsidP="00000000" w:rsidRDefault="00000000" w:rsidRPr="00000000" w14:paraId="00000016">
      <w:pPr>
        <w:spacing w:after="0" w:before="0" w:lineRule="auto"/>
        <w:jc w:val="both"/>
        <w:rPr>
          <w:rFonts w:ascii="Jost" w:cs="Jost" w:eastAsia="Jost" w:hAnsi="Jost"/>
          <w:sz w:val="24"/>
          <w:szCs w:val="24"/>
        </w:rPr>
      </w:pPr>
      <w:r w:rsidDel="00000000" w:rsidR="00000000" w:rsidRPr="00000000">
        <w:rPr>
          <w:rtl w:val="0"/>
        </w:rPr>
      </w:r>
    </w:p>
    <w:p w:rsidR="00000000" w:rsidDel="00000000" w:rsidP="00000000" w:rsidRDefault="00000000" w:rsidRPr="00000000" w14:paraId="00000017">
      <w:pPr>
        <w:pStyle w:val="Heading1"/>
        <w:numPr>
          <w:ilvl w:val="0"/>
          <w:numId w:val="2"/>
        </w:numPr>
        <w:spacing w:after="0" w:before="0" w:lineRule="auto"/>
        <w:rPr>
          <w:sz w:val="24"/>
          <w:szCs w:val="24"/>
        </w:rPr>
      </w:pPr>
      <w:bookmarkStart w:colFirst="0" w:colLast="0" w:name="_644if8deea9r" w:id="0"/>
      <w:bookmarkEnd w:id="0"/>
      <w:r w:rsidDel="00000000" w:rsidR="00000000" w:rsidRPr="00000000">
        <w:rPr>
          <w:sz w:val="24"/>
          <w:szCs w:val="24"/>
          <w:rtl w:val="0"/>
        </w:rPr>
        <w:t xml:space="preserve">Contexte - Enjeux</w:t>
      </w:r>
    </w:p>
    <w:p w:rsidR="00000000" w:rsidDel="00000000" w:rsidP="00000000" w:rsidRDefault="00000000" w:rsidRPr="00000000" w14:paraId="00000018">
      <w:pPr>
        <w:numPr>
          <w:ilvl w:val="0"/>
          <w:numId w:val="3"/>
        </w:numPr>
        <w:spacing w:after="0" w:before="0" w:lineRule="auto"/>
        <w:ind w:left="720" w:hanging="360"/>
        <w:jc w:val="both"/>
        <w:rPr>
          <w:rFonts w:ascii="Jost" w:cs="Jost" w:eastAsia="Jost" w:hAnsi="Jost"/>
          <w:sz w:val="24"/>
          <w:szCs w:val="24"/>
        </w:rPr>
      </w:pPr>
      <w:r w:rsidDel="00000000" w:rsidR="00000000" w:rsidRPr="00000000">
        <w:rPr>
          <w:rFonts w:ascii="Jost" w:cs="Jost" w:eastAsia="Jost" w:hAnsi="Jost"/>
          <w:sz w:val="24"/>
          <w:szCs w:val="24"/>
          <w:rtl w:val="0"/>
        </w:rPr>
        <w:t xml:space="preserve">Le regroupement des principaux commerces et équipements publics de la commune.</w:t>
      </w:r>
    </w:p>
    <w:p w:rsidR="00000000" w:rsidDel="00000000" w:rsidP="00000000" w:rsidRDefault="00000000" w:rsidRPr="00000000" w14:paraId="00000019">
      <w:pPr>
        <w:numPr>
          <w:ilvl w:val="0"/>
          <w:numId w:val="3"/>
        </w:numPr>
        <w:spacing w:after="0" w:before="0" w:lineRule="auto"/>
        <w:ind w:left="720" w:hanging="360"/>
        <w:jc w:val="both"/>
        <w:rPr>
          <w:rFonts w:ascii="Jost" w:cs="Jost" w:eastAsia="Jost" w:hAnsi="Jost"/>
          <w:sz w:val="24"/>
          <w:szCs w:val="24"/>
        </w:rPr>
      </w:pPr>
      <w:r w:rsidDel="00000000" w:rsidR="00000000" w:rsidRPr="00000000">
        <w:rPr>
          <w:rFonts w:ascii="Jost" w:cs="Jost" w:eastAsia="Jost" w:hAnsi="Jost"/>
          <w:sz w:val="24"/>
          <w:szCs w:val="24"/>
          <w:rtl w:val="0"/>
        </w:rPr>
        <w:t xml:space="preserve">Un pôle commercial qualitatif et diversifié qui favorise le dynamisme et l’attractivité du centre-ville.</w:t>
      </w:r>
    </w:p>
    <w:p w:rsidR="00000000" w:rsidDel="00000000" w:rsidP="00000000" w:rsidRDefault="00000000" w:rsidRPr="00000000" w14:paraId="0000001A">
      <w:pPr>
        <w:numPr>
          <w:ilvl w:val="0"/>
          <w:numId w:val="3"/>
        </w:numPr>
        <w:spacing w:after="0" w:before="0" w:lineRule="auto"/>
        <w:ind w:left="720" w:hanging="360"/>
        <w:jc w:val="both"/>
        <w:rPr>
          <w:rFonts w:ascii="Jost" w:cs="Jost" w:eastAsia="Jost" w:hAnsi="Jost"/>
          <w:sz w:val="24"/>
          <w:szCs w:val="24"/>
        </w:rPr>
      </w:pPr>
      <w:r w:rsidDel="00000000" w:rsidR="00000000" w:rsidRPr="00000000">
        <w:rPr>
          <w:rFonts w:ascii="Jost" w:cs="Jost" w:eastAsia="Jost" w:hAnsi="Jost"/>
          <w:sz w:val="24"/>
          <w:szCs w:val="24"/>
          <w:rtl w:val="0"/>
        </w:rPr>
        <w:t xml:space="preserve">Une bonne accessibilité automobile mais le transport collectif contourne actuellement la centralité.</w:t>
      </w:r>
    </w:p>
    <w:p w:rsidR="00000000" w:rsidDel="00000000" w:rsidP="00000000" w:rsidRDefault="00000000" w:rsidRPr="00000000" w14:paraId="0000001B">
      <w:pPr>
        <w:numPr>
          <w:ilvl w:val="0"/>
          <w:numId w:val="3"/>
        </w:numPr>
        <w:spacing w:after="0" w:before="0" w:lineRule="auto"/>
        <w:ind w:left="720" w:hanging="360"/>
        <w:jc w:val="both"/>
        <w:rPr>
          <w:rFonts w:ascii="Jost" w:cs="Jost" w:eastAsia="Jost" w:hAnsi="Jost"/>
          <w:sz w:val="24"/>
          <w:szCs w:val="24"/>
        </w:rPr>
      </w:pPr>
      <w:r w:rsidDel="00000000" w:rsidR="00000000" w:rsidRPr="00000000">
        <w:rPr>
          <w:rFonts w:ascii="Jost" w:cs="Jost" w:eastAsia="Jost" w:hAnsi="Jost"/>
          <w:sz w:val="24"/>
          <w:szCs w:val="24"/>
          <w:rtl w:val="0"/>
        </w:rPr>
        <w:t xml:space="preserve">Un traitement qualitatif des espaces publics qui facilite l’usage des modes doux mais un maillage incomplet.</w:t>
      </w:r>
    </w:p>
    <w:p w:rsidR="00000000" w:rsidDel="00000000" w:rsidP="00000000" w:rsidRDefault="00000000" w:rsidRPr="00000000" w14:paraId="0000001C">
      <w:pPr>
        <w:numPr>
          <w:ilvl w:val="0"/>
          <w:numId w:val="3"/>
        </w:numPr>
        <w:spacing w:after="0" w:before="0" w:lineRule="auto"/>
        <w:ind w:left="720" w:hanging="360"/>
        <w:jc w:val="both"/>
        <w:rPr>
          <w:rFonts w:ascii="Jost" w:cs="Jost" w:eastAsia="Jost" w:hAnsi="Jost"/>
          <w:sz w:val="24"/>
          <w:szCs w:val="24"/>
        </w:rPr>
      </w:pPr>
      <w:r w:rsidDel="00000000" w:rsidR="00000000" w:rsidRPr="00000000">
        <w:rPr>
          <w:rFonts w:ascii="Jost" w:cs="Jost" w:eastAsia="Jost" w:hAnsi="Jost"/>
          <w:sz w:val="24"/>
          <w:szCs w:val="24"/>
          <w:rtl w:val="0"/>
        </w:rPr>
        <w:t xml:space="preserve">Des potentiels de renouvellement urbain intéressants.</w:t>
      </w:r>
    </w:p>
    <w:p w:rsidR="00000000" w:rsidDel="00000000" w:rsidP="00000000" w:rsidRDefault="00000000" w:rsidRPr="00000000" w14:paraId="0000001D">
      <w:pPr>
        <w:spacing w:after="0" w:before="0" w:lineRule="auto"/>
        <w:jc w:val="both"/>
        <w:rPr>
          <w:rFonts w:ascii="Jost" w:cs="Jost" w:eastAsia="Jost" w:hAnsi="Jost"/>
          <w:sz w:val="24"/>
          <w:szCs w:val="24"/>
        </w:rPr>
      </w:pPr>
      <w:r w:rsidDel="00000000" w:rsidR="00000000" w:rsidRPr="00000000">
        <w:rPr>
          <w:rtl w:val="0"/>
        </w:rPr>
      </w:r>
    </w:p>
    <w:p w:rsidR="00000000" w:rsidDel="00000000" w:rsidP="00000000" w:rsidRDefault="00000000" w:rsidRPr="00000000" w14:paraId="0000001E">
      <w:pPr>
        <w:spacing w:after="0" w:before="0" w:lineRule="auto"/>
        <w:jc w:val="both"/>
        <w:rPr>
          <w:rFonts w:ascii="Jost" w:cs="Jost" w:eastAsia="Jost" w:hAnsi="Jost"/>
          <w:sz w:val="24"/>
          <w:szCs w:val="24"/>
        </w:rPr>
      </w:pPr>
      <w:r w:rsidDel="00000000" w:rsidR="00000000" w:rsidRPr="00000000">
        <w:rPr>
          <w:rFonts w:ascii="Jost" w:cs="Jost" w:eastAsia="Jost" w:hAnsi="Jost"/>
          <w:sz w:val="24"/>
          <w:szCs w:val="24"/>
          <w:rtl w:val="0"/>
        </w:rPr>
        <w:t xml:space="preserve">L’enjeu est de renforcer le dynamisme du centre-ville de la commune, en organisant son accessibilité et en confortant la vitalité économique et résidentielle.</w:t>
      </w:r>
    </w:p>
    <w:p w:rsidR="00000000" w:rsidDel="00000000" w:rsidP="00000000" w:rsidRDefault="00000000" w:rsidRPr="00000000" w14:paraId="0000001F">
      <w:pPr>
        <w:spacing w:after="0" w:before="0" w:lineRule="auto"/>
        <w:jc w:val="both"/>
        <w:rPr>
          <w:rFonts w:ascii="Jost" w:cs="Jost" w:eastAsia="Jost" w:hAnsi="Jost"/>
          <w:sz w:val="24"/>
          <w:szCs w:val="24"/>
        </w:rPr>
      </w:pPr>
      <w:r w:rsidDel="00000000" w:rsidR="00000000" w:rsidRPr="00000000">
        <w:rPr>
          <w:rtl w:val="0"/>
        </w:rPr>
      </w:r>
    </w:p>
    <w:p w:rsidR="00000000" w:rsidDel="00000000" w:rsidP="00000000" w:rsidRDefault="00000000" w:rsidRPr="00000000" w14:paraId="00000020">
      <w:pPr>
        <w:pStyle w:val="Heading1"/>
        <w:numPr>
          <w:ilvl w:val="0"/>
          <w:numId w:val="2"/>
        </w:numPr>
        <w:spacing w:after="0" w:before="0" w:lineRule="auto"/>
        <w:ind w:left="720" w:hanging="360"/>
        <w:rPr>
          <w:sz w:val="24"/>
          <w:szCs w:val="24"/>
        </w:rPr>
      </w:pPr>
      <w:bookmarkStart w:colFirst="0" w:colLast="0" w:name="_2ptvwz500dx2" w:id="1"/>
      <w:bookmarkEnd w:id="1"/>
      <w:r w:rsidDel="00000000" w:rsidR="00000000" w:rsidRPr="00000000">
        <w:rPr>
          <w:sz w:val="24"/>
          <w:szCs w:val="24"/>
          <w:rtl w:val="0"/>
        </w:rPr>
        <w:t xml:space="preserve">Quelles sont les limites du centre-ville ?</w:t>
      </w:r>
    </w:p>
    <w:p w:rsidR="00000000" w:rsidDel="00000000" w:rsidP="00000000" w:rsidRDefault="00000000" w:rsidRPr="00000000" w14:paraId="00000021">
      <w:pPr>
        <w:spacing w:after="0" w:before="0" w:lineRule="auto"/>
        <w:jc w:val="both"/>
        <w:rPr>
          <w:rFonts w:ascii="Jost" w:cs="Jost" w:eastAsia="Jost" w:hAnsi="Jost"/>
          <w:sz w:val="24"/>
          <w:szCs w:val="24"/>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4010025</wp:posOffset>
                </wp:positionH>
                <wp:positionV relativeFrom="paragraph">
                  <wp:posOffset>222999</wp:posOffset>
                </wp:positionV>
                <wp:extent cx="2887388" cy="3281700"/>
                <wp:effectExtent b="0" l="0" r="0" t="0"/>
                <wp:wrapSquare wrapText="bothSides" distB="114300" distT="114300" distL="114300" distR="114300"/>
                <wp:docPr id="1" name=""/>
                <a:graphic>
                  <a:graphicData uri="http://schemas.microsoft.com/office/word/2010/wordprocessingGroup">
                    <wpg:wgp>
                      <wpg:cNvGrpSpPr/>
                      <wpg:grpSpPr>
                        <a:xfrm>
                          <a:off x="278975" y="146025"/>
                          <a:ext cx="2887388" cy="3281700"/>
                          <a:chOff x="278975" y="146025"/>
                          <a:chExt cx="4319150" cy="4911775"/>
                        </a:xfrm>
                      </wpg:grpSpPr>
                      <wpg:graphicFrame>
                        <wpg:xfrm>
                          <a:off x="285350" y="152400"/>
                          <a:ext cx="3000000" cy="3000000"/>
                        </wpg:xfrm>
                        <a:graphic>
                          <a:graphicData uri="http://schemas.openxmlformats.org/drawingml/2006/table">
                            <a:tbl>
                              <a:tblPr>
                                <a:noFill/>
                                <a:tableStyleId>{17FCC690-DE61-49ED-A2D6-10C494C25989}</a:tableStyleId>
                              </a:tblPr>
                              <a:tblGrid>
                                <a:gridCol w="3143650"/>
                                <a:gridCol w="1162750"/>
                              </a:tblGrid>
                              <a:tr h="12700">
                                <a:tc>
                                  <a:txBody>
                                    <a:bodyPr/>
                                    <a:lstStyle/>
                                    <a:p>
                                      <a:pPr indent="0" lvl="0" marL="0" rtl="0" algn="l">
                                        <a:spcBef>
                                          <a:spcPts val="0"/>
                                        </a:spcBef>
                                        <a:spcAft>
                                          <a:spcPts val="0"/>
                                        </a:spcAft>
                                        <a:buNone/>
                                      </a:pPr>
                                      <a:r>
                                        <a:rPr b="1" lang="en-US" sz="1200">
                                          <a:solidFill>
                                            <a:srgbClr val="FFFFFF"/>
                                          </a:solidFill>
                                          <a:latin typeface="Jost"/>
                                          <a:ea typeface="Jost"/>
                                          <a:cs typeface="Jost"/>
                                          <a:sym typeface="Jost"/>
                                        </a:rPr>
                                        <a:t>1.Bâtiments</a:t>
                                      </a:r>
                                      <a:endParaRPr b="1" sz="1200">
                                        <a:solidFill>
                                          <a:srgbClr val="FFFFFF"/>
                                        </a:solidFill>
                                        <a:latin typeface="Jost"/>
                                        <a:ea typeface="Jost"/>
                                        <a:cs typeface="Jost"/>
                                        <a:sym typeface="Jost"/>
                                      </a:endParaRPr>
                                    </a:p>
                                  </a:txBody>
                                  <a:tcPr marT="63500" marB="63500" marR="63500" marL="63500">
                                    <a:solidFill>
                                      <a:srgbClr val="666666"/>
                                    </a:solidFill>
                                  </a:tcPr>
                                </a:tc>
                                <a:tc>
                                  <a:txBody>
                                    <a:bodyPr/>
                                    <a:lstStyle/>
                                    <a:p>
                                      <a:pPr indent="0" lvl="0" marL="0" rtl="0" algn="l">
                                        <a:spcBef>
                                          <a:spcPts val="0"/>
                                        </a:spcBef>
                                        <a:spcAft>
                                          <a:spcPts val="0"/>
                                        </a:spcAft>
                                        <a:buNone/>
                                      </a:pPr>
                                      <a:r>
                                        <a:t/>
                                      </a:r>
                                      <a:endParaRPr sz="1100">
                                        <a:latin typeface="Jost"/>
                                        <a:ea typeface="Jost"/>
                                        <a:cs typeface="Jost"/>
                                        <a:sym typeface="Jost"/>
                                      </a:endParaRPr>
                                    </a:p>
                                  </a:txBody>
                                  <a:tcPr marT="63500" marB="63500" marR="63500" marL="63500">
                                    <a:solidFill>
                                      <a:srgbClr val="666666"/>
                                    </a:solidFill>
                                  </a:tcPr>
                                </a:tc>
                              </a:tr>
                              <a:tr h="12700">
                                <a:tc>
                                  <a:txBody>
                                    <a:bodyPr/>
                                    <a:lstStyle/>
                                    <a:p>
                                      <a:pPr indent="0" lvl="0" marL="0" rtl="0" algn="l">
                                        <a:spcBef>
                                          <a:spcPts val="0"/>
                                        </a:spcBef>
                                        <a:spcAft>
                                          <a:spcPts val="0"/>
                                        </a:spcAft>
                                        <a:buNone/>
                                      </a:pPr>
                                      <a:r>
                                        <a:rPr lang="en-US" sz="1100">
                                          <a:latin typeface="Jost"/>
                                          <a:ea typeface="Jost"/>
                                          <a:cs typeface="Jost"/>
                                          <a:sym typeface="Jost"/>
                                        </a:rPr>
                                        <a:t>Super U</a:t>
                                      </a:r>
                                      <a:endParaRPr sz="1100">
                                        <a:latin typeface="Jost"/>
                                        <a:ea typeface="Jost"/>
                                        <a:cs typeface="Jost"/>
                                        <a:sym typeface="Jost"/>
                                      </a:endParaRPr>
                                    </a:p>
                                  </a:txBody>
                                  <a:tcPr marT="63500" marB="63500" marR="63500" marL="63500">
                                    <a:solidFill>
                                      <a:srgbClr val="D9D9D9"/>
                                    </a:solidFill>
                                  </a:tcPr>
                                </a:tc>
                                <a:tc>
                                  <a:txBody>
                                    <a:bodyPr/>
                                    <a:lstStyle/>
                                    <a:p>
                                      <a:pPr indent="0" lvl="0" marL="0" rtl="0" algn="l">
                                        <a:spcBef>
                                          <a:spcPts val="0"/>
                                        </a:spcBef>
                                        <a:spcAft>
                                          <a:spcPts val="0"/>
                                        </a:spcAft>
                                        <a:buNone/>
                                      </a:pPr>
                                      <a:r>
                                        <a:rPr lang="en-US" sz="1100">
                                          <a:solidFill>
                                            <a:srgbClr val="E06666"/>
                                          </a:solidFill>
                                          <a:highlight>
                                            <a:srgbClr val="E06666"/>
                                          </a:highlight>
                                          <a:latin typeface="Jost"/>
                                          <a:ea typeface="Jost"/>
                                          <a:cs typeface="Jost"/>
                                          <a:sym typeface="Jost"/>
                                        </a:rPr>
                                        <a:t>.    .</a:t>
                                      </a:r>
                                      <a:endParaRPr sz="1100">
                                        <a:solidFill>
                                          <a:srgbClr val="E06666"/>
                                        </a:solidFill>
                                        <a:highlight>
                                          <a:srgbClr val="E06666"/>
                                        </a:highlight>
                                        <a:latin typeface="Jost"/>
                                        <a:ea typeface="Jost"/>
                                        <a:cs typeface="Jost"/>
                                        <a:sym typeface="Jost"/>
                                      </a:endParaRPr>
                                    </a:p>
                                  </a:txBody>
                                  <a:tcPr marT="63500" marB="63500" marR="63500" marL="63500">
                                    <a:solidFill>
                                      <a:srgbClr val="D9D9D9"/>
                                    </a:solidFill>
                                  </a:tcPr>
                                </a:tc>
                              </a:tr>
                              <a:tr h="100000">
                                <a:tc>
                                  <a:txBody>
                                    <a:bodyPr/>
                                    <a:lstStyle/>
                                    <a:p>
                                      <a:pPr indent="0" lvl="0" marL="0" rtl="0" algn="l">
                                        <a:spcBef>
                                          <a:spcPts val="0"/>
                                        </a:spcBef>
                                        <a:spcAft>
                                          <a:spcPts val="0"/>
                                        </a:spcAft>
                                        <a:buNone/>
                                      </a:pPr>
                                      <a:r>
                                        <a:rPr lang="en-US" sz="1100">
                                          <a:latin typeface="Jost"/>
                                          <a:ea typeface="Jost"/>
                                          <a:cs typeface="Jost"/>
                                          <a:sym typeface="Jost"/>
                                        </a:rPr>
                                        <a:t>Autres / Habitations ?</a:t>
                                      </a:r>
                                      <a:endParaRPr sz="1100">
                                        <a:latin typeface="Jost"/>
                                        <a:ea typeface="Jost"/>
                                        <a:cs typeface="Jost"/>
                                        <a:sym typeface="Jost"/>
                                      </a:endParaRPr>
                                    </a:p>
                                  </a:txBody>
                                  <a:tcPr marT="63500" marB="63500" marR="63500" marL="63500">
                                    <a:solidFill>
                                      <a:srgbClr val="D9D9D9"/>
                                    </a:solidFill>
                                  </a:tcPr>
                                </a:tc>
                                <a:tc>
                                  <a:txBody>
                                    <a:bodyPr/>
                                    <a:lstStyle/>
                                    <a:p>
                                      <a:pPr indent="0" lvl="0" marL="0" rtl="0" algn="l">
                                        <a:spcBef>
                                          <a:spcPts val="0"/>
                                        </a:spcBef>
                                        <a:spcAft>
                                          <a:spcPts val="0"/>
                                        </a:spcAft>
                                        <a:buNone/>
                                      </a:pPr>
                                      <a:r>
                                        <a:rPr lang="en-US" sz="1100">
                                          <a:solidFill>
                                            <a:srgbClr val="FF9900"/>
                                          </a:solidFill>
                                          <a:latin typeface="Jost"/>
                                          <a:ea typeface="Jost"/>
                                          <a:cs typeface="Jost"/>
                                          <a:sym typeface="Jost"/>
                                        </a:rPr>
                                        <a:t>//////</a:t>
                                      </a:r>
                                      <a:endParaRPr sz="1100">
                                        <a:solidFill>
                                          <a:srgbClr val="FF9900"/>
                                        </a:solidFill>
                                        <a:latin typeface="Jost"/>
                                        <a:ea typeface="Jost"/>
                                        <a:cs typeface="Jost"/>
                                        <a:sym typeface="Jost"/>
                                      </a:endParaRPr>
                                    </a:p>
                                  </a:txBody>
                                  <a:tcPr marT="63500" marB="63500" marR="63500" marL="63500">
                                    <a:solidFill>
                                      <a:srgbClr val="D9D9D9"/>
                                    </a:solidFill>
                                  </a:tcPr>
                                </a:tc>
                              </a:tr>
                              <a:tr h="12700">
                                <a:tc>
                                  <a:txBody>
                                    <a:bodyPr/>
                                    <a:lstStyle/>
                                    <a:p>
                                      <a:pPr indent="0" lvl="0" marL="0" rtl="0" algn="l">
                                        <a:spcBef>
                                          <a:spcPts val="0"/>
                                        </a:spcBef>
                                        <a:spcAft>
                                          <a:spcPts val="0"/>
                                        </a:spcAft>
                                        <a:buNone/>
                                      </a:pPr>
                                      <a:r>
                                        <a:rPr lang="en-US" sz="1100">
                                          <a:latin typeface="Jost"/>
                                          <a:ea typeface="Jost"/>
                                          <a:cs typeface="Jost"/>
                                          <a:sym typeface="Jost"/>
                                        </a:rPr>
                                        <a:t>Commerces</a:t>
                                      </a:r>
                                      <a:endParaRPr sz="1100">
                                        <a:latin typeface="Jost"/>
                                        <a:ea typeface="Jost"/>
                                        <a:cs typeface="Jost"/>
                                        <a:sym typeface="Jost"/>
                                      </a:endParaRPr>
                                    </a:p>
                                  </a:txBody>
                                  <a:tcPr marT="63500" marB="63500" marR="63500" marL="63500">
                                    <a:solidFill>
                                      <a:srgbClr val="D9D9D9"/>
                                    </a:solidFill>
                                  </a:tcPr>
                                </a:tc>
                                <a:tc>
                                  <a:txBody>
                                    <a:bodyPr/>
                                    <a:lstStyle/>
                                    <a:p>
                                      <a:pPr indent="0" lvl="0" marL="0" rtl="0" algn="l">
                                        <a:spcBef>
                                          <a:spcPts val="0"/>
                                        </a:spcBef>
                                        <a:spcAft>
                                          <a:spcPts val="0"/>
                                        </a:spcAft>
                                        <a:buNone/>
                                      </a:pPr>
                                      <a:r>
                                        <a:rPr lang="en-US" sz="1300">
                                          <a:solidFill>
                                            <a:srgbClr val="CC0000"/>
                                          </a:solidFill>
                                          <a:latin typeface="Jost"/>
                                          <a:ea typeface="Jost"/>
                                          <a:cs typeface="Jost"/>
                                          <a:sym typeface="Jost"/>
                                        </a:rPr>
                                        <a:t>·····</a:t>
                                      </a:r>
                                      <a:endParaRPr sz="1100">
                                        <a:latin typeface="Jost"/>
                                        <a:ea typeface="Jost"/>
                                        <a:cs typeface="Jost"/>
                                        <a:sym typeface="Jost"/>
                                      </a:endParaRPr>
                                    </a:p>
                                  </a:txBody>
                                  <a:tcPr marT="63500" marB="63500" marR="63500" marL="63500">
                                    <a:solidFill>
                                      <a:srgbClr val="D9D9D9"/>
                                    </a:solidFill>
                                  </a:tcPr>
                                </a:tc>
                              </a:tr>
                              <a:tr h="12700">
                                <a:tc>
                                  <a:txBody>
                                    <a:bodyPr/>
                                    <a:lstStyle/>
                                    <a:p>
                                      <a:pPr indent="0" lvl="0" marL="0" rtl="0" algn="l">
                                        <a:spcBef>
                                          <a:spcPts val="0"/>
                                        </a:spcBef>
                                        <a:spcAft>
                                          <a:spcPts val="0"/>
                                        </a:spcAft>
                                        <a:buNone/>
                                      </a:pPr>
                                      <a:r>
                                        <a:rPr lang="en-US" sz="1100">
                                          <a:latin typeface="Jost"/>
                                          <a:ea typeface="Jost"/>
                                          <a:cs typeface="Jost"/>
                                          <a:sym typeface="Jost"/>
                                        </a:rPr>
                                        <a:t>Bâtiments administratifs</a:t>
                                      </a:r>
                                      <a:endParaRPr sz="1100">
                                        <a:latin typeface="Jost"/>
                                        <a:ea typeface="Jost"/>
                                        <a:cs typeface="Jost"/>
                                        <a:sym typeface="Jost"/>
                                      </a:endParaRPr>
                                    </a:p>
                                  </a:txBody>
                                  <a:tcPr marT="63500" marB="63500" marR="63500" marL="63500">
                                    <a:lnB cap="flat" cmpd="sng" w="12700">
                                      <a:solidFill>
                                        <a:srgbClr val="434343"/>
                                      </a:solidFill>
                                      <a:prstDash val="solid"/>
                                      <a:round/>
                                      <a:headEnd len="sm" w="sm" type="none"/>
                                      <a:tailEnd len="sm" w="sm" type="none"/>
                                    </a:lnB>
                                    <a:solidFill>
                                      <a:srgbClr val="D9D9D9"/>
                                    </a:solidFill>
                                  </a:tcPr>
                                </a:tc>
                                <a:tc>
                                  <a:txBody>
                                    <a:bodyPr/>
                                    <a:lstStyle/>
                                    <a:p>
                                      <a:pPr indent="0" lvl="0" marL="0" rtl="0" algn="l">
                                        <a:spcBef>
                                          <a:spcPts val="0"/>
                                        </a:spcBef>
                                        <a:spcAft>
                                          <a:spcPts val="0"/>
                                        </a:spcAft>
                                        <a:buNone/>
                                      </a:pPr>
                                      <a:r>
                                        <a:rPr lang="en-US" sz="1100">
                                          <a:solidFill>
                                            <a:srgbClr val="6D9EEB"/>
                                          </a:solidFill>
                                          <a:highlight>
                                            <a:srgbClr val="6D9EEB"/>
                                          </a:highlight>
                                          <a:latin typeface="Jost"/>
                                          <a:ea typeface="Jost"/>
                                          <a:cs typeface="Jost"/>
                                          <a:sym typeface="Jost"/>
                                        </a:rPr>
                                        <a:t>.    .</a:t>
                                      </a:r>
                                      <a:endParaRPr sz="1100">
                                        <a:solidFill>
                                          <a:srgbClr val="6D9EEB"/>
                                        </a:solidFill>
                                        <a:highlight>
                                          <a:srgbClr val="6D9EEB"/>
                                        </a:highlight>
                                        <a:latin typeface="Jost"/>
                                        <a:ea typeface="Jost"/>
                                        <a:cs typeface="Jost"/>
                                        <a:sym typeface="Jost"/>
                                      </a:endParaRPr>
                                    </a:p>
                                  </a:txBody>
                                  <a:tcPr marT="63500" marB="63500" marR="63500" marL="63500">
                                    <a:lnB cap="flat" cmpd="sng" w="12700">
                                      <a:solidFill>
                                        <a:srgbClr val="434343"/>
                                      </a:solidFill>
                                      <a:prstDash val="solid"/>
                                      <a:round/>
                                      <a:headEnd len="sm" w="sm" type="none"/>
                                      <a:tailEnd len="sm" w="sm" type="none"/>
                                    </a:lnB>
                                    <a:solidFill>
                                      <a:srgbClr val="D9D9D9"/>
                                    </a:solidFill>
                                  </a:tcPr>
                                </a:tc>
                              </a:tr>
                              <a:tr h="12700">
                                <a:tc>
                                  <a:txBody>
                                    <a:bodyPr/>
                                    <a:lstStyle/>
                                    <a:p>
                                      <a:pPr indent="0" lvl="0" marL="0" rtl="0" algn="l">
                                        <a:spcBef>
                                          <a:spcPts val="0"/>
                                        </a:spcBef>
                                        <a:spcAft>
                                          <a:spcPts val="0"/>
                                        </a:spcAft>
                                        <a:buNone/>
                                      </a:pPr>
                                      <a:r>
                                        <a:rPr b="1" lang="en-US" sz="1100">
                                          <a:solidFill>
                                            <a:srgbClr val="FFFFFF"/>
                                          </a:solidFill>
                                          <a:latin typeface="Jost"/>
                                          <a:ea typeface="Jost"/>
                                          <a:cs typeface="Jost"/>
                                          <a:sym typeface="Jost"/>
                                        </a:rPr>
                                        <a:t>2.Axe de communication</a:t>
                                      </a:r>
                                      <a:endParaRPr b="1" sz="1100">
                                        <a:solidFill>
                                          <a:srgbClr val="FFFFFF"/>
                                        </a:solidFill>
                                        <a:latin typeface="Jost"/>
                                        <a:ea typeface="Jost"/>
                                        <a:cs typeface="Jost"/>
                                        <a:sym typeface="Jost"/>
                                      </a:endParaRPr>
                                    </a:p>
                                  </a:txBody>
                                  <a:tcPr marT="63500" marB="63500" marR="63500" marL="63500">
                                    <a:lnL cap="flat" cmpd="sng" w="12700">
                                      <a:solidFill>
                                        <a:srgbClr val="434343"/>
                                      </a:solidFill>
                                      <a:prstDash val="solid"/>
                                      <a:round/>
                                      <a:headEnd len="sm" w="sm" type="none"/>
                                      <a:tailEnd len="sm" w="sm" type="none"/>
                                    </a:lnL>
                                    <a:lnR cap="flat" cmpd="sng" w="12700">
                                      <a:solidFill>
                                        <a:srgbClr val="434343"/>
                                      </a:solidFill>
                                      <a:prstDash val="solid"/>
                                      <a:round/>
                                      <a:headEnd len="sm" w="sm" type="none"/>
                                      <a:tailEnd len="sm" w="sm" type="none"/>
                                    </a:lnR>
                                    <a:lnT cap="flat" cmpd="sng" w="12700">
                                      <a:solidFill>
                                        <a:srgbClr val="434343"/>
                                      </a:solidFill>
                                      <a:prstDash val="solid"/>
                                      <a:round/>
                                      <a:headEnd len="sm" w="sm" type="none"/>
                                      <a:tailEnd len="sm" w="sm" type="none"/>
                                    </a:lnT>
                                    <a:lnB cap="flat" cmpd="sng" w="12700">
                                      <a:solidFill>
                                        <a:srgbClr val="434343"/>
                                      </a:solidFill>
                                      <a:prstDash val="solid"/>
                                      <a:round/>
                                      <a:headEnd len="sm" w="sm" type="none"/>
                                      <a:tailEnd len="sm" w="sm" type="none"/>
                                    </a:lnB>
                                    <a:solidFill>
                                      <a:srgbClr val="666666"/>
                                    </a:solidFill>
                                  </a:tcPr>
                                </a:tc>
                                <a:tc>
                                  <a:txBody>
                                    <a:bodyPr/>
                                    <a:lstStyle/>
                                    <a:p>
                                      <a:pPr indent="0" lvl="0" marL="0" rtl="0" algn="l">
                                        <a:spcBef>
                                          <a:spcPts val="0"/>
                                        </a:spcBef>
                                        <a:spcAft>
                                          <a:spcPts val="0"/>
                                        </a:spcAft>
                                        <a:buNone/>
                                      </a:pPr>
                                      <a:r>
                                        <a:t/>
                                      </a:r>
                                      <a:endParaRPr sz="1100">
                                        <a:latin typeface="Jost"/>
                                        <a:ea typeface="Jost"/>
                                        <a:cs typeface="Jost"/>
                                        <a:sym typeface="Jost"/>
                                      </a:endParaRPr>
                                    </a:p>
                                  </a:txBody>
                                  <a:tcPr marT="63500" marB="63500" marR="63500" marL="63500">
                                    <a:lnL cap="flat" cmpd="sng" w="12700">
                                      <a:solidFill>
                                        <a:srgbClr val="434343"/>
                                      </a:solidFill>
                                      <a:prstDash val="solid"/>
                                      <a:round/>
                                      <a:headEnd len="sm" w="sm" type="none"/>
                                      <a:tailEnd len="sm" w="sm" type="none"/>
                                    </a:lnL>
                                    <a:lnR cap="flat" cmpd="sng" w="12700">
                                      <a:solidFill>
                                        <a:srgbClr val="434343"/>
                                      </a:solidFill>
                                      <a:prstDash val="solid"/>
                                      <a:round/>
                                      <a:headEnd len="sm" w="sm" type="none"/>
                                      <a:tailEnd len="sm" w="sm" type="none"/>
                                    </a:lnR>
                                    <a:lnT cap="flat" cmpd="sng" w="12700">
                                      <a:solidFill>
                                        <a:srgbClr val="434343"/>
                                      </a:solidFill>
                                      <a:prstDash val="solid"/>
                                      <a:round/>
                                      <a:headEnd len="sm" w="sm" type="none"/>
                                      <a:tailEnd len="sm" w="sm" type="none"/>
                                    </a:lnT>
                                    <a:lnB cap="flat" cmpd="sng" w="12700">
                                      <a:solidFill>
                                        <a:srgbClr val="434343"/>
                                      </a:solidFill>
                                      <a:prstDash val="solid"/>
                                      <a:round/>
                                      <a:headEnd len="sm" w="sm" type="none"/>
                                      <a:tailEnd len="sm" w="sm" type="none"/>
                                    </a:lnB>
                                    <a:solidFill>
                                      <a:srgbClr val="666666"/>
                                    </a:solidFill>
                                  </a:tcPr>
                                </a:tc>
                              </a:tr>
                              <a:tr h="12700">
                                <a:tc>
                                  <a:txBody>
                                    <a:bodyPr/>
                                    <a:lstStyle/>
                                    <a:p>
                                      <a:pPr indent="0" lvl="0" marL="0" rtl="0" algn="l">
                                        <a:spcBef>
                                          <a:spcPts val="0"/>
                                        </a:spcBef>
                                        <a:spcAft>
                                          <a:spcPts val="0"/>
                                        </a:spcAft>
                                        <a:buNone/>
                                      </a:pPr>
                                      <a:r>
                                        <a:rPr lang="en-US" sz="1100">
                                          <a:latin typeface="Jost"/>
                                          <a:ea typeface="Jost"/>
                                          <a:cs typeface="Jost"/>
                                          <a:sym typeface="Jost"/>
                                        </a:rPr>
                                        <a:t>Routes principales + entrées principales du centre</a:t>
                                      </a:r>
                                      <a:endParaRPr sz="1100">
                                        <a:latin typeface="Jost"/>
                                        <a:ea typeface="Jost"/>
                                        <a:cs typeface="Jost"/>
                                        <a:sym typeface="Jost"/>
                                      </a:endParaRPr>
                                    </a:p>
                                  </a:txBody>
                                  <a:tcPr marT="63500" marB="63500" marR="63500" marL="63500">
                                    <a:lnT cap="flat" cmpd="sng" w="12700">
                                      <a:solidFill>
                                        <a:srgbClr val="434343"/>
                                      </a:solidFill>
                                      <a:prstDash val="solid"/>
                                      <a:round/>
                                      <a:headEnd len="sm" w="sm" type="none"/>
                                      <a:tailEnd len="sm" w="sm" type="none"/>
                                    </a:lnT>
                                    <a:solidFill>
                                      <a:srgbClr val="D9D9D9"/>
                                    </a:solidFill>
                                  </a:tcPr>
                                </a:tc>
                                <a:tc>
                                  <a:txBody>
                                    <a:bodyPr/>
                                    <a:lstStyle/>
                                    <a:p>
                                      <a:pPr indent="0" lvl="0" marL="0" rtl="0" algn="l">
                                        <a:spcBef>
                                          <a:spcPts val="0"/>
                                        </a:spcBef>
                                        <a:spcAft>
                                          <a:spcPts val="0"/>
                                        </a:spcAft>
                                        <a:buNone/>
                                      </a:pPr>
                                      <a:r>
                                        <a:rPr b="1" lang="en-US" sz="1300">
                                          <a:solidFill>
                                            <a:srgbClr val="FFFFFF"/>
                                          </a:solidFill>
                                          <a:latin typeface="Jost"/>
                                          <a:ea typeface="Jost"/>
                                          <a:cs typeface="Jost"/>
                                          <a:sym typeface="Jost"/>
                                        </a:rPr>
                                        <a:t>--------</a:t>
                                      </a:r>
                                      <a:endParaRPr b="1" sz="1300">
                                        <a:solidFill>
                                          <a:srgbClr val="FFFFFF"/>
                                        </a:solidFill>
                                        <a:latin typeface="Jost"/>
                                        <a:ea typeface="Jost"/>
                                        <a:cs typeface="Jost"/>
                                        <a:sym typeface="Jost"/>
                                      </a:endParaRPr>
                                    </a:p>
                                  </a:txBody>
                                  <a:tcPr marT="63500" marB="63500" marR="63500" marL="63500">
                                    <a:lnT cap="flat" cmpd="sng" w="12700">
                                      <a:solidFill>
                                        <a:srgbClr val="434343"/>
                                      </a:solidFill>
                                      <a:prstDash val="solid"/>
                                      <a:round/>
                                      <a:headEnd len="sm" w="sm" type="none"/>
                                      <a:tailEnd len="sm" w="sm" type="none"/>
                                    </a:lnT>
                                    <a:solidFill>
                                      <a:srgbClr val="D9D9D9"/>
                                    </a:solidFill>
                                  </a:tcPr>
                                </a:tc>
                              </a:tr>
                              <a:tr h="12700">
                                <a:tc>
                                  <a:txBody>
                                    <a:bodyPr/>
                                    <a:lstStyle/>
                                    <a:p>
                                      <a:pPr indent="0" lvl="0" marL="0" rtl="0" algn="l">
                                        <a:spcBef>
                                          <a:spcPts val="0"/>
                                        </a:spcBef>
                                        <a:spcAft>
                                          <a:spcPts val="0"/>
                                        </a:spcAft>
                                        <a:buNone/>
                                      </a:pPr>
                                      <a:r>
                                        <a:rPr lang="en-US" sz="1100">
                                          <a:latin typeface="Jost"/>
                                          <a:ea typeface="Jost"/>
                                          <a:cs typeface="Jost"/>
                                          <a:sym typeface="Jost"/>
                                        </a:rPr>
                                        <a:t>Petites entrées au centre-ville</a:t>
                                      </a:r>
                                      <a:endParaRPr sz="1100">
                                        <a:latin typeface="Jost"/>
                                        <a:ea typeface="Jost"/>
                                        <a:cs typeface="Jost"/>
                                        <a:sym typeface="Jost"/>
                                      </a:endParaRPr>
                                    </a:p>
                                  </a:txBody>
                                  <a:tcPr marT="63500" marB="63500" marR="63500" marL="63500">
                                    <a:solidFill>
                                      <a:srgbClr val="D9D9D9"/>
                                    </a:solidFill>
                                  </a:tcPr>
                                </a:tc>
                                <a:tc>
                                  <a:txBody>
                                    <a:bodyPr/>
                                    <a:lstStyle/>
                                    <a:p>
                                      <a:pPr indent="0" lvl="0" marL="0" rtl="0" algn="l">
                                        <a:spcBef>
                                          <a:spcPts val="0"/>
                                        </a:spcBef>
                                        <a:spcAft>
                                          <a:spcPts val="0"/>
                                        </a:spcAft>
                                        <a:buNone/>
                                      </a:pPr>
                                      <a:r>
                                        <a:rPr b="1" lang="en-US" sz="1300">
                                          <a:solidFill>
                                            <a:srgbClr val="FFFF00"/>
                                          </a:solidFill>
                                          <a:latin typeface="Jost"/>
                                          <a:ea typeface="Jost"/>
                                          <a:cs typeface="Jost"/>
                                          <a:sym typeface="Jost"/>
                                        </a:rPr>
                                        <a:t>--------</a:t>
                                      </a:r>
                                      <a:r>
                                        <a:rPr lang="en-US" sz="1300">
                                          <a:solidFill>
                                            <a:srgbClr val="666666"/>
                                          </a:solidFill>
                                          <a:latin typeface="Jost"/>
                                          <a:ea typeface="Jost"/>
                                          <a:cs typeface="Jost"/>
                                          <a:sym typeface="Jost"/>
                                        </a:rPr>
                                        <a:t>/</a:t>
                                      </a:r>
                                      <a:r>
                                        <a:rPr b="1" lang="en-US" sz="1300">
                                          <a:solidFill>
                                            <a:srgbClr val="FFFF00"/>
                                          </a:solidFill>
                                          <a:latin typeface="Jost"/>
                                          <a:ea typeface="Jost"/>
                                          <a:cs typeface="Jost"/>
                                          <a:sym typeface="Jost"/>
                                        </a:rPr>
                                        <a:t>···· </a:t>
                                      </a:r>
                                      <a:endParaRPr b="1" sz="1100">
                                        <a:solidFill>
                                          <a:srgbClr val="FFFF00"/>
                                        </a:solidFill>
                                        <a:latin typeface="Jost"/>
                                        <a:ea typeface="Jost"/>
                                        <a:cs typeface="Jost"/>
                                        <a:sym typeface="Jost"/>
                                      </a:endParaRPr>
                                    </a:p>
                                  </a:txBody>
                                  <a:tcPr marT="63500" marB="63500" marR="63500" marL="63500">
                                    <a:solidFill>
                                      <a:srgbClr val="D9D9D9"/>
                                    </a:solidFill>
                                  </a:tcPr>
                                </a:tc>
                              </a:tr>
                              <a:tr h="12700">
                                <a:tc>
                                  <a:txBody>
                                    <a:bodyPr/>
                                    <a:lstStyle/>
                                    <a:p>
                                      <a:pPr indent="0" lvl="0" marL="0" rtl="0" algn="l">
                                        <a:spcBef>
                                          <a:spcPts val="0"/>
                                        </a:spcBef>
                                        <a:spcAft>
                                          <a:spcPts val="0"/>
                                        </a:spcAft>
                                        <a:buNone/>
                                      </a:pPr>
                                      <a:r>
                                        <a:rPr lang="en-US" sz="1100">
                                          <a:latin typeface="Jost"/>
                                          <a:ea typeface="Jost"/>
                                          <a:cs typeface="Jost"/>
                                          <a:sym typeface="Jost"/>
                                        </a:rPr>
                                        <a:t>Piste cyclable ?</a:t>
                                      </a:r>
                                      <a:endParaRPr sz="1100">
                                        <a:latin typeface="Jost"/>
                                        <a:ea typeface="Jost"/>
                                        <a:cs typeface="Jost"/>
                                        <a:sym typeface="Jost"/>
                                      </a:endParaRPr>
                                    </a:p>
                                  </a:txBody>
                                  <a:tcPr marT="63500" marB="63500" marR="63500" marL="63500">
                                    <a:solidFill>
                                      <a:srgbClr val="D9D9D9"/>
                                    </a:solidFill>
                                  </a:tcPr>
                                </a:tc>
                                <a:tc>
                                  <a:txBody>
                                    <a:bodyPr/>
                                    <a:lstStyle/>
                                    <a:p>
                                      <a:pPr indent="0" lvl="0" marL="0" rtl="0" algn="l">
                                        <a:spcBef>
                                          <a:spcPts val="0"/>
                                        </a:spcBef>
                                        <a:spcAft>
                                          <a:spcPts val="0"/>
                                        </a:spcAft>
                                        <a:buNone/>
                                      </a:pPr>
                                      <a:r>
                                        <a:rPr b="1" lang="en-US" sz="1300">
                                          <a:solidFill>
                                            <a:srgbClr val="93C47D"/>
                                          </a:solidFill>
                                          <a:latin typeface="Jost"/>
                                          <a:ea typeface="Jost"/>
                                          <a:cs typeface="Jost"/>
                                          <a:sym typeface="Jost"/>
                                        </a:rPr>
                                        <a:t>--------</a:t>
                                      </a:r>
                                      <a:endParaRPr sz="1100">
                                        <a:solidFill>
                                          <a:srgbClr val="93C47D"/>
                                        </a:solidFill>
                                        <a:latin typeface="Jost"/>
                                        <a:ea typeface="Jost"/>
                                        <a:cs typeface="Jost"/>
                                        <a:sym typeface="Jost"/>
                                      </a:endParaRPr>
                                    </a:p>
                                  </a:txBody>
                                  <a:tcPr marT="63500" marB="63500" marR="63500" marL="63500">
                                    <a:solidFill>
                                      <a:srgbClr val="D9D9D9"/>
                                    </a:solidFill>
                                  </a:tcPr>
                                </a:tc>
                              </a:tr>
                              <a:tr h="12700">
                                <a:tc>
                                  <a:txBody>
                                    <a:bodyPr/>
                                    <a:lstStyle/>
                                    <a:p>
                                      <a:pPr indent="0" lvl="0" marL="0" rtl="0" algn="l">
                                        <a:spcBef>
                                          <a:spcPts val="0"/>
                                        </a:spcBef>
                                        <a:spcAft>
                                          <a:spcPts val="0"/>
                                        </a:spcAft>
                                        <a:buNone/>
                                      </a:pPr>
                                      <a:r>
                                        <a:rPr b="1" lang="en-US" sz="1100">
                                          <a:solidFill>
                                            <a:srgbClr val="FFFFFF"/>
                                          </a:solidFill>
                                          <a:latin typeface="Jost"/>
                                          <a:ea typeface="Jost"/>
                                          <a:cs typeface="Jost"/>
                                          <a:sym typeface="Jost"/>
                                        </a:rPr>
                                        <a:t>3.Aménagement de l’espace</a:t>
                                      </a:r>
                                      <a:endParaRPr b="1" sz="1100">
                                        <a:solidFill>
                                          <a:srgbClr val="FFFFFF"/>
                                        </a:solidFill>
                                        <a:latin typeface="Jost"/>
                                        <a:ea typeface="Jost"/>
                                        <a:cs typeface="Jost"/>
                                        <a:sym typeface="Jost"/>
                                      </a:endParaRPr>
                                    </a:p>
                                  </a:txBody>
                                  <a:tcPr marT="63500" marB="63500" marR="63500" marL="63500">
                                    <a:solidFill>
                                      <a:srgbClr val="666666"/>
                                    </a:solidFill>
                                  </a:tcPr>
                                </a:tc>
                                <a:tc>
                                  <a:txBody>
                                    <a:bodyPr/>
                                    <a:lstStyle/>
                                    <a:p>
                                      <a:pPr indent="0" lvl="0" marL="0" rtl="0" algn="l">
                                        <a:spcBef>
                                          <a:spcPts val="0"/>
                                        </a:spcBef>
                                        <a:spcAft>
                                          <a:spcPts val="0"/>
                                        </a:spcAft>
                                        <a:buNone/>
                                      </a:pPr>
                                      <a:r>
                                        <a:t/>
                                      </a:r>
                                      <a:endParaRPr sz="1100">
                                        <a:latin typeface="Jost"/>
                                        <a:ea typeface="Jost"/>
                                        <a:cs typeface="Jost"/>
                                        <a:sym typeface="Jost"/>
                                      </a:endParaRPr>
                                    </a:p>
                                  </a:txBody>
                                  <a:tcPr marT="63500" marB="63500" marR="63500" marL="63500">
                                    <a:solidFill>
                                      <a:srgbClr val="666666"/>
                                    </a:solidFill>
                                  </a:tcPr>
                                </a:tc>
                              </a:tr>
                              <a:tr h="12700">
                                <a:tc>
                                  <a:txBody>
                                    <a:bodyPr/>
                                    <a:lstStyle/>
                                    <a:p>
                                      <a:pPr indent="0" lvl="0" marL="0" rtl="0" algn="l">
                                        <a:spcBef>
                                          <a:spcPts val="0"/>
                                        </a:spcBef>
                                        <a:spcAft>
                                          <a:spcPts val="0"/>
                                        </a:spcAft>
                                        <a:buNone/>
                                      </a:pPr>
                                      <a:r>
                                        <a:rPr lang="en-US" sz="1100">
                                          <a:latin typeface="Jost"/>
                                          <a:ea typeface="Jost"/>
                                          <a:cs typeface="Jost"/>
                                          <a:sym typeface="Jost"/>
                                        </a:rPr>
                                        <a:t>Parking</a:t>
                                      </a:r>
                                      <a:endParaRPr sz="1100">
                                        <a:latin typeface="Jost"/>
                                        <a:ea typeface="Jost"/>
                                        <a:cs typeface="Jost"/>
                                        <a:sym typeface="Jost"/>
                                      </a:endParaRPr>
                                    </a:p>
                                  </a:txBody>
                                  <a:tcPr marT="63500" marB="63500" marR="63500" marL="63500">
                                    <a:solidFill>
                                      <a:srgbClr val="D9D9D9"/>
                                    </a:solidFill>
                                  </a:tcPr>
                                </a:tc>
                                <a:tc>
                                  <a:txBody>
                                    <a:bodyPr/>
                                    <a:lstStyle/>
                                    <a:p>
                                      <a:pPr indent="0" lvl="0" marL="0" rtl="0" algn="l">
                                        <a:spcBef>
                                          <a:spcPts val="0"/>
                                        </a:spcBef>
                                        <a:spcAft>
                                          <a:spcPts val="0"/>
                                        </a:spcAft>
                                        <a:buNone/>
                                      </a:pPr>
                                      <a:r>
                                        <a:rPr lang="en-US" sz="1100">
                                          <a:highlight>
                                            <a:srgbClr val="6FA8DC"/>
                                          </a:highlight>
                                          <a:latin typeface="Jost"/>
                                          <a:ea typeface="Jost"/>
                                          <a:cs typeface="Jost"/>
                                          <a:sym typeface="Jost"/>
                                        </a:rPr>
                                        <a:t> P</a:t>
                                      </a:r>
                                      <a:r>
                                        <a:rPr lang="en-US" sz="1100">
                                          <a:solidFill>
                                            <a:srgbClr val="6FA8DC"/>
                                          </a:solidFill>
                                          <a:highlight>
                                            <a:srgbClr val="6FA8DC"/>
                                          </a:highlight>
                                          <a:latin typeface="Jost"/>
                                          <a:ea typeface="Jost"/>
                                          <a:cs typeface="Jost"/>
                                          <a:sym typeface="Jost"/>
                                        </a:rPr>
                                        <a:t>.</a:t>
                                      </a:r>
                                      <a:endParaRPr sz="1100">
                                        <a:solidFill>
                                          <a:srgbClr val="6FA8DC"/>
                                        </a:solidFill>
                                        <a:highlight>
                                          <a:srgbClr val="6FA8DC"/>
                                        </a:highlight>
                                        <a:latin typeface="Jost"/>
                                        <a:ea typeface="Jost"/>
                                        <a:cs typeface="Jost"/>
                                        <a:sym typeface="Jost"/>
                                      </a:endParaRPr>
                                    </a:p>
                                  </a:txBody>
                                  <a:tcPr marT="63500" marB="63500" marR="63500" marL="63500">
                                    <a:solidFill>
                                      <a:srgbClr val="D9D9D9"/>
                                    </a:solidFill>
                                  </a:tcPr>
                                </a:tc>
                              </a:tr>
                              <a:tr h="12700">
                                <a:tc>
                                  <a:txBody>
                                    <a:bodyPr/>
                                    <a:lstStyle/>
                                    <a:p>
                                      <a:pPr indent="0" lvl="0" marL="0" rtl="0" algn="l">
                                        <a:spcBef>
                                          <a:spcPts val="0"/>
                                        </a:spcBef>
                                        <a:spcAft>
                                          <a:spcPts val="0"/>
                                        </a:spcAft>
                                        <a:buNone/>
                                      </a:pPr>
                                      <a:r>
                                        <a:rPr lang="en-US" sz="1100">
                                          <a:latin typeface="Jost"/>
                                          <a:ea typeface="Jost"/>
                                          <a:cs typeface="Jost"/>
                                          <a:sym typeface="Jost"/>
                                        </a:rPr>
                                        <a:t>Parc</a:t>
                                      </a:r>
                                      <a:endParaRPr sz="1100">
                                        <a:latin typeface="Jost"/>
                                        <a:ea typeface="Jost"/>
                                        <a:cs typeface="Jost"/>
                                        <a:sym typeface="Jost"/>
                                      </a:endParaRPr>
                                    </a:p>
                                  </a:txBody>
                                  <a:tcPr marT="63500" marB="63500" marR="63500" marL="63500">
                                    <a:solidFill>
                                      <a:srgbClr val="D9D9D9"/>
                                    </a:solidFill>
                                  </a:tcPr>
                                </a:tc>
                                <a:tc>
                                  <a:txBody>
                                    <a:bodyPr/>
                                    <a:lstStyle/>
                                    <a:p>
                                      <a:pPr indent="0" lvl="0" marL="0" rtl="0" algn="l">
                                        <a:spcBef>
                                          <a:spcPts val="0"/>
                                        </a:spcBef>
                                        <a:spcAft>
                                          <a:spcPts val="0"/>
                                        </a:spcAft>
                                        <a:buNone/>
                                      </a:pPr>
                                      <a:r>
                                        <a:rPr lang="en-US" sz="1100">
                                          <a:solidFill>
                                            <a:srgbClr val="6AA84F"/>
                                          </a:solidFill>
                                          <a:highlight>
                                            <a:srgbClr val="6AA84F"/>
                                          </a:highlight>
                                          <a:latin typeface="Jost"/>
                                          <a:ea typeface="Jost"/>
                                          <a:cs typeface="Jost"/>
                                          <a:sym typeface="Jost"/>
                                        </a:rPr>
                                        <a:t>.    .</a:t>
                                      </a:r>
                                      <a:endParaRPr sz="1100">
                                        <a:solidFill>
                                          <a:srgbClr val="6AA84F"/>
                                        </a:solidFill>
                                        <a:highlight>
                                          <a:srgbClr val="6AA84F"/>
                                        </a:highlight>
                                        <a:latin typeface="Jost"/>
                                        <a:ea typeface="Jost"/>
                                        <a:cs typeface="Jost"/>
                                        <a:sym typeface="Jost"/>
                                      </a:endParaRPr>
                                    </a:p>
                                  </a:txBody>
                                  <a:tcPr marT="63500" marB="63500" marR="63500" marL="63500">
                                    <a:solidFill>
                                      <a:srgbClr val="D9D9D9"/>
                                    </a:solidFill>
                                  </a:tcPr>
                                </a:tc>
                              </a:tr>
                              <a:tr h="12700">
                                <a:tc>
                                  <a:txBody>
                                    <a:bodyPr/>
                                    <a:lstStyle/>
                                    <a:p>
                                      <a:pPr indent="0" lvl="0" marL="0" rtl="0" algn="l">
                                        <a:spcBef>
                                          <a:spcPts val="0"/>
                                        </a:spcBef>
                                        <a:spcAft>
                                          <a:spcPts val="0"/>
                                        </a:spcAft>
                                        <a:buNone/>
                                      </a:pPr>
                                      <a:r>
                                        <a:rPr lang="en-US" sz="1100">
                                          <a:latin typeface="Jost"/>
                                          <a:ea typeface="Jost"/>
                                          <a:cs typeface="Jost"/>
                                          <a:sym typeface="Jost"/>
                                        </a:rPr>
                                        <a:t>Espace p</a:t>
                                      </a:r>
                                      <a:r>
                                        <a:rPr lang="en-US" sz="1100">
                                          <a:latin typeface="Jost"/>
                                          <a:ea typeface="Jost"/>
                                          <a:cs typeface="Jost"/>
                                          <a:sym typeface="Jost"/>
                                        </a:rPr>
                                        <a:t>révu dans un futur aménagement</a:t>
                                      </a:r>
                                      <a:endParaRPr sz="1100">
                                        <a:latin typeface="Jost"/>
                                        <a:ea typeface="Jost"/>
                                        <a:cs typeface="Jost"/>
                                        <a:sym typeface="Jost"/>
                                      </a:endParaRPr>
                                    </a:p>
                                  </a:txBody>
                                  <a:tcPr marT="63500" marB="63500" marR="63500" marL="63500">
                                    <a:solidFill>
                                      <a:srgbClr val="D9D9D9"/>
                                    </a:solidFill>
                                  </a:tcPr>
                                </a:tc>
                                <a:tc>
                                  <a:txBody>
                                    <a:bodyPr/>
                                    <a:lstStyle/>
                                    <a:p>
                                      <a:pPr indent="0" lvl="0" marL="0" rtl="0" algn="l">
                                        <a:spcBef>
                                          <a:spcPts val="0"/>
                                        </a:spcBef>
                                        <a:spcAft>
                                          <a:spcPts val="0"/>
                                        </a:spcAft>
                                        <a:buNone/>
                                      </a:pPr>
                                      <a:r>
                                        <a:rPr lang="en-US" sz="1100">
                                          <a:solidFill>
                                            <a:srgbClr val="FFFF00"/>
                                          </a:solidFill>
                                          <a:highlight>
                                            <a:srgbClr val="FFFF00"/>
                                          </a:highlight>
                                          <a:latin typeface="Jost"/>
                                          <a:ea typeface="Jost"/>
                                          <a:cs typeface="Jost"/>
                                          <a:sym typeface="Jost"/>
                                        </a:rPr>
                                        <a:t>.    .</a:t>
                                      </a:r>
                                      <a:endParaRPr sz="1100">
                                        <a:solidFill>
                                          <a:srgbClr val="FFFF00"/>
                                        </a:solidFill>
                                        <a:highlight>
                                          <a:srgbClr val="FFFF00"/>
                                        </a:highlight>
                                        <a:latin typeface="Jost"/>
                                        <a:ea typeface="Jost"/>
                                        <a:cs typeface="Jost"/>
                                        <a:sym typeface="Jost"/>
                                      </a:endParaRPr>
                                    </a:p>
                                  </a:txBody>
                                  <a:tcPr marT="63500" marB="63500" marR="63500" marL="63500">
                                    <a:solidFill>
                                      <a:srgbClr val="D9D9D9"/>
                                    </a:solidFill>
                                  </a:tcPr>
                                </a:tc>
                              </a:tr>
                              <a:tr h="12700">
                                <a:tc>
                                  <a:txBody>
                                    <a:bodyPr/>
                                    <a:lstStyle/>
                                    <a:p>
                                      <a:pPr indent="0" lvl="0" marL="0" rtl="0" algn="l">
                                        <a:spcBef>
                                          <a:spcPts val="0"/>
                                        </a:spcBef>
                                        <a:spcAft>
                                          <a:spcPts val="0"/>
                                        </a:spcAft>
                                        <a:buNone/>
                                      </a:pPr>
                                      <a:r>
                                        <a:rPr b="1" lang="en-US" sz="1100">
                                          <a:solidFill>
                                            <a:srgbClr val="FFFFFF"/>
                                          </a:solidFill>
                                          <a:latin typeface="Jost"/>
                                          <a:ea typeface="Jost"/>
                                          <a:cs typeface="Jost"/>
                                          <a:sym typeface="Jost"/>
                                        </a:rPr>
                                        <a:t>4.Délimitation</a:t>
                                      </a:r>
                                      <a:endParaRPr b="1" sz="1100">
                                        <a:solidFill>
                                          <a:srgbClr val="FFFFFF"/>
                                        </a:solidFill>
                                        <a:latin typeface="Jost"/>
                                        <a:ea typeface="Jost"/>
                                        <a:cs typeface="Jost"/>
                                        <a:sym typeface="Jost"/>
                                      </a:endParaRPr>
                                    </a:p>
                                  </a:txBody>
                                  <a:tcPr marT="63500" marB="63500" marR="63500" marL="63500">
                                    <a:solidFill>
                                      <a:srgbClr val="666666"/>
                                    </a:solidFill>
                                  </a:tcPr>
                                </a:tc>
                                <a:tc>
                                  <a:txBody>
                                    <a:bodyPr/>
                                    <a:lstStyle/>
                                    <a:p>
                                      <a:pPr indent="0" lvl="0" marL="0" rtl="0" algn="l">
                                        <a:spcBef>
                                          <a:spcPts val="0"/>
                                        </a:spcBef>
                                        <a:spcAft>
                                          <a:spcPts val="0"/>
                                        </a:spcAft>
                                        <a:buNone/>
                                      </a:pPr>
                                      <a:r>
                                        <a:t/>
                                      </a:r>
                                      <a:endParaRPr sz="1100">
                                        <a:latin typeface="Jost"/>
                                        <a:ea typeface="Jost"/>
                                        <a:cs typeface="Jost"/>
                                        <a:sym typeface="Jost"/>
                                      </a:endParaRPr>
                                    </a:p>
                                  </a:txBody>
                                  <a:tcPr marT="63500" marB="63500" marR="63500" marL="63500">
                                    <a:solidFill>
                                      <a:srgbClr val="666666"/>
                                    </a:solidFill>
                                  </a:tcPr>
                                </a:tc>
                              </a:tr>
                              <a:tr h="12700">
                                <a:tc>
                                  <a:txBody>
                                    <a:bodyPr/>
                                    <a:lstStyle/>
                                    <a:p>
                                      <a:pPr indent="0" lvl="0" marL="0" rtl="0" algn="l">
                                        <a:spcBef>
                                          <a:spcPts val="0"/>
                                        </a:spcBef>
                                        <a:spcAft>
                                          <a:spcPts val="0"/>
                                        </a:spcAft>
                                        <a:buNone/>
                                      </a:pPr>
                                      <a:r>
                                        <a:rPr lang="en-US" sz="1100">
                                          <a:latin typeface="Jost"/>
                                          <a:ea typeface="Jost"/>
                                          <a:cs typeface="Jost"/>
                                          <a:sym typeface="Jost"/>
                                        </a:rPr>
                                        <a:t>Centralité</a:t>
                                      </a:r>
                                      <a:endParaRPr sz="1100">
                                        <a:latin typeface="Jost"/>
                                        <a:ea typeface="Jost"/>
                                        <a:cs typeface="Jost"/>
                                        <a:sym typeface="Jost"/>
                                      </a:endParaRPr>
                                    </a:p>
                                  </a:txBody>
                                  <a:tcPr marT="63500" marB="63500" marR="63500" marL="63500">
                                    <a:solidFill>
                                      <a:srgbClr val="D9D9D9"/>
                                    </a:solidFill>
                                  </a:tcPr>
                                </a:tc>
                                <a:tc>
                                  <a:txBody>
                                    <a:bodyPr/>
                                    <a:lstStyle/>
                                    <a:p>
                                      <a:pPr indent="0" lvl="0" marL="0" rtl="0" algn="l">
                                        <a:spcBef>
                                          <a:spcPts val="0"/>
                                        </a:spcBef>
                                        <a:spcAft>
                                          <a:spcPts val="0"/>
                                        </a:spcAft>
                                        <a:buNone/>
                                      </a:pPr>
                                      <a:r>
                                        <a:rPr b="1" lang="en-US" sz="1100">
                                          <a:latin typeface="Jost"/>
                                          <a:ea typeface="Jost"/>
                                          <a:cs typeface="Jost"/>
                                          <a:sym typeface="Jost"/>
                                        </a:rPr>
                                        <a:t>- - - - - </a:t>
                                      </a:r>
                                      <a:endParaRPr b="1" sz="1100">
                                        <a:latin typeface="Jost"/>
                                        <a:ea typeface="Jost"/>
                                        <a:cs typeface="Jost"/>
                                        <a:sym typeface="Jost"/>
                                      </a:endParaRPr>
                                    </a:p>
                                  </a:txBody>
                                  <a:tcPr marT="63500" marB="63500" marR="63500" marL="63500">
                                    <a:solidFill>
                                      <a:srgbClr val="D9D9D9"/>
                                    </a:solidFill>
                                  </a:tcPr>
                                </a:tc>
                              </a:tr>
                              <a:tr h="12700">
                                <a:tc>
                                  <a:txBody>
                                    <a:bodyPr/>
                                    <a:lstStyle/>
                                    <a:p>
                                      <a:pPr indent="0" lvl="0" marL="0" rtl="0" algn="l">
                                        <a:spcBef>
                                          <a:spcPts val="0"/>
                                        </a:spcBef>
                                        <a:spcAft>
                                          <a:spcPts val="0"/>
                                        </a:spcAft>
                                        <a:buNone/>
                                      </a:pPr>
                                      <a:r>
                                        <a:rPr lang="en-US" sz="1100">
                                          <a:latin typeface="Jost"/>
                                          <a:ea typeface="Jost"/>
                                          <a:cs typeface="Jost"/>
                                          <a:sym typeface="Jost"/>
                                        </a:rPr>
                                        <a:t>Limite du centre-ville</a:t>
                                      </a:r>
                                      <a:endParaRPr sz="1100">
                                        <a:latin typeface="Jost"/>
                                        <a:ea typeface="Jost"/>
                                        <a:cs typeface="Jost"/>
                                        <a:sym typeface="Jost"/>
                                      </a:endParaRPr>
                                    </a:p>
                                  </a:txBody>
                                  <a:tcPr marT="63500" marB="63500" marR="63500" marL="63500">
                                    <a:solidFill>
                                      <a:srgbClr val="D9D9D9"/>
                                    </a:solidFill>
                                  </a:tcPr>
                                </a:tc>
                                <a:tc>
                                  <a:txBody>
                                    <a:bodyPr/>
                                    <a:lstStyle/>
                                    <a:p>
                                      <a:pPr indent="0" lvl="0" marL="0" rtl="0" algn="l">
                                        <a:spcBef>
                                          <a:spcPts val="0"/>
                                        </a:spcBef>
                                        <a:spcAft>
                                          <a:spcPts val="0"/>
                                        </a:spcAft>
                                        <a:buNone/>
                                      </a:pPr>
                                      <a:r>
                                        <a:rPr b="1" lang="en-US" sz="1100">
                                          <a:latin typeface="Jost"/>
                                          <a:ea typeface="Jost"/>
                                          <a:cs typeface="Jost"/>
                                          <a:sym typeface="Jost"/>
                                        </a:rPr>
                                        <a:t>_._._._._</a:t>
                                      </a:r>
                                      <a:endParaRPr b="1" sz="1100">
                                        <a:latin typeface="Jost"/>
                                        <a:ea typeface="Jost"/>
                                        <a:cs typeface="Jost"/>
                                        <a:sym typeface="Jost"/>
                                      </a:endParaRPr>
                                    </a:p>
                                  </a:txBody>
                                  <a:tcPr marT="63500" marB="63500" marR="63500" marL="63500">
                                    <a:solidFill>
                                      <a:srgbClr val="D9D9D9"/>
                                    </a:solidFill>
                                  </a:tcPr>
                                </a:tc>
                              </a:tr>
                            </a:tbl>
                          </a:graphicData>
                        </a:graphic>
                      </wpg:graphicFrame>
                    </wpg:wgp>
                  </a:graphicData>
                </a:graphic>
              </wp:anchor>
            </w:drawing>
          </mc:Choice>
          <mc:Fallback>
            <w:drawing>
              <wp:anchor allowOverlap="1" behindDoc="0" distB="114300" distT="114300" distL="114300" distR="114300" hidden="0" layoutInCell="1" locked="0" relativeHeight="0" simplePos="0">
                <wp:simplePos x="0" y="0"/>
                <wp:positionH relativeFrom="column">
                  <wp:posOffset>4010025</wp:posOffset>
                </wp:positionH>
                <wp:positionV relativeFrom="paragraph">
                  <wp:posOffset>222999</wp:posOffset>
                </wp:positionV>
                <wp:extent cx="2887388" cy="3281700"/>
                <wp:effectExtent b="0" l="0" r="0" t="0"/>
                <wp:wrapSquare wrapText="bothSides" distB="114300" distT="114300" distL="114300" distR="114300"/>
                <wp:docPr id="1"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2887388" cy="3281700"/>
                        </a:xfrm>
                        <a:prstGeom prst="rect"/>
                        <a:ln/>
                      </pic:spPr>
                    </pic:pic>
                  </a:graphicData>
                </a:graphic>
              </wp:anchor>
            </w:drawing>
          </mc:Fallback>
        </mc:AlternateContent>
      </w:r>
      <w:r w:rsidDel="00000000" w:rsidR="00000000" w:rsidRPr="00000000">
        <w:drawing>
          <wp:anchor allowOverlap="1" behindDoc="0" distB="114300" distT="114300" distL="114300" distR="114300" hidden="0" layoutInCell="1" locked="0" relativeHeight="0" simplePos="0">
            <wp:simplePos x="0" y="0"/>
            <wp:positionH relativeFrom="column">
              <wp:posOffset>-551137</wp:posOffset>
            </wp:positionH>
            <wp:positionV relativeFrom="paragraph">
              <wp:posOffset>222999</wp:posOffset>
            </wp:positionV>
            <wp:extent cx="4561163" cy="3692370"/>
            <wp:effectExtent b="0" l="0" r="0" t="0"/>
            <wp:wrapSquare wrapText="bothSides" distB="114300" distT="114300" distL="114300" distR="114300"/>
            <wp:docPr id="4"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4561163" cy="3692370"/>
                    </a:xfrm>
                    <a:prstGeom prst="rect"/>
                    <a:ln/>
                  </pic:spPr>
                </pic:pic>
              </a:graphicData>
            </a:graphic>
          </wp:anchor>
        </w:drawing>
      </w:r>
    </w:p>
    <w:p w:rsidR="00000000" w:rsidDel="00000000" w:rsidP="00000000" w:rsidRDefault="00000000" w:rsidRPr="00000000" w14:paraId="00000022">
      <w:pPr>
        <w:spacing w:after="0" w:before="0" w:lineRule="auto"/>
        <w:jc w:val="both"/>
        <w:rPr>
          <w:rFonts w:ascii="Jost Light" w:cs="Jost Light" w:eastAsia="Jost Light" w:hAnsi="Jost Light"/>
          <w:i w:val="1"/>
          <w:sz w:val="24"/>
          <w:szCs w:val="24"/>
        </w:rPr>
      </w:pPr>
      <w:r w:rsidDel="00000000" w:rsidR="00000000" w:rsidRPr="00000000">
        <w:rPr>
          <w:rtl w:val="0"/>
        </w:rPr>
      </w:r>
    </w:p>
    <w:p w:rsidR="00000000" w:rsidDel="00000000" w:rsidP="00000000" w:rsidRDefault="00000000" w:rsidRPr="00000000" w14:paraId="00000023">
      <w:pPr>
        <w:spacing w:after="0" w:before="0" w:lineRule="auto"/>
        <w:jc w:val="both"/>
        <w:rPr>
          <w:rFonts w:ascii="Jost Light" w:cs="Jost Light" w:eastAsia="Jost Light" w:hAnsi="Jost Light"/>
          <w:i w:val="1"/>
          <w:sz w:val="24"/>
          <w:szCs w:val="24"/>
        </w:rPr>
      </w:pPr>
      <w:r w:rsidDel="00000000" w:rsidR="00000000" w:rsidRPr="00000000">
        <w:rPr>
          <w:rFonts w:ascii="Jost Light" w:cs="Jost Light" w:eastAsia="Jost Light" w:hAnsi="Jost Light"/>
          <w:i w:val="1"/>
          <w:sz w:val="24"/>
          <w:szCs w:val="24"/>
          <w:rtl w:val="0"/>
        </w:rPr>
        <w:t xml:space="preserve">Document du PLUi pour l’aménagement</w:t>
      </w:r>
    </w:p>
    <w:p w:rsidR="00000000" w:rsidDel="00000000" w:rsidP="00000000" w:rsidRDefault="00000000" w:rsidRPr="00000000" w14:paraId="00000024">
      <w:pPr>
        <w:spacing w:after="0" w:before="0" w:lineRule="auto"/>
        <w:jc w:val="both"/>
        <w:rPr>
          <w:rFonts w:ascii="Jost Light" w:cs="Jost Light" w:eastAsia="Jost Light" w:hAnsi="Jost Light"/>
          <w:i w:val="1"/>
          <w:sz w:val="24"/>
          <w:szCs w:val="24"/>
        </w:rPr>
      </w:pPr>
      <w:r w:rsidDel="00000000" w:rsidR="00000000" w:rsidRPr="00000000">
        <w:rPr>
          <w:rtl w:val="0"/>
        </w:rPr>
      </w:r>
    </w:p>
    <w:p w:rsidR="00000000" w:rsidDel="00000000" w:rsidP="00000000" w:rsidRDefault="00000000" w:rsidRPr="00000000" w14:paraId="00000025">
      <w:pPr>
        <w:pStyle w:val="Heading1"/>
        <w:numPr>
          <w:ilvl w:val="0"/>
          <w:numId w:val="2"/>
        </w:numPr>
        <w:spacing w:after="0" w:before="0" w:lineRule="auto"/>
        <w:rPr>
          <w:sz w:val="24"/>
          <w:szCs w:val="24"/>
        </w:rPr>
      </w:pPr>
      <w:bookmarkStart w:colFirst="0" w:colLast="0" w:name="_2kp4h5yatxo9" w:id="2"/>
      <w:bookmarkEnd w:id="2"/>
      <w:r w:rsidDel="00000000" w:rsidR="00000000" w:rsidRPr="00000000">
        <w:rPr>
          <w:sz w:val="24"/>
          <w:szCs w:val="24"/>
          <w:rtl w:val="0"/>
        </w:rPr>
        <w:t xml:space="preserve">Lieux Problématique :</w:t>
      </w:r>
    </w:p>
    <w:p w:rsidR="00000000" w:rsidDel="00000000" w:rsidP="00000000" w:rsidRDefault="00000000" w:rsidRPr="00000000" w14:paraId="00000026">
      <w:pPr>
        <w:spacing w:after="0" w:before="0" w:lineRule="auto"/>
        <w:ind w:left="0" w:firstLine="0"/>
        <w:jc w:val="both"/>
        <w:rPr>
          <w:rFonts w:ascii="Jost" w:cs="Jost" w:eastAsia="Jost" w:hAnsi="Jost"/>
          <w:sz w:val="24"/>
          <w:szCs w:val="24"/>
        </w:rPr>
      </w:pPr>
      <w:r w:rsidDel="00000000" w:rsidR="00000000" w:rsidRPr="00000000">
        <w:rPr>
          <w:rtl w:val="0"/>
        </w:rPr>
      </w:r>
    </w:p>
    <w:p w:rsidR="00000000" w:rsidDel="00000000" w:rsidP="00000000" w:rsidRDefault="00000000" w:rsidRPr="00000000" w14:paraId="00000027">
      <w:pPr>
        <w:numPr>
          <w:ilvl w:val="0"/>
          <w:numId w:val="5"/>
        </w:numPr>
        <w:spacing w:after="0" w:before="0" w:lineRule="auto"/>
        <w:ind w:left="720" w:hanging="360"/>
        <w:jc w:val="both"/>
        <w:rPr>
          <w:rFonts w:ascii="Jost" w:cs="Jost" w:eastAsia="Jost" w:hAnsi="Jost"/>
          <w:sz w:val="24"/>
          <w:szCs w:val="24"/>
        </w:rPr>
      </w:pPr>
      <w:r w:rsidDel="00000000" w:rsidR="00000000" w:rsidRPr="00000000">
        <w:rPr>
          <w:rFonts w:ascii="Jost" w:cs="Jost" w:eastAsia="Jost" w:hAnsi="Jost"/>
          <w:sz w:val="24"/>
          <w:szCs w:val="24"/>
          <w:rtl w:val="0"/>
        </w:rPr>
        <w:t xml:space="preserve">Médiathèque</w:t>
      </w:r>
    </w:p>
    <w:p w:rsidR="00000000" w:rsidDel="00000000" w:rsidP="00000000" w:rsidRDefault="00000000" w:rsidRPr="00000000" w14:paraId="00000028">
      <w:pPr>
        <w:spacing w:after="0" w:before="0" w:lineRule="auto"/>
        <w:jc w:val="both"/>
        <w:rPr>
          <w:rFonts w:ascii="Jost" w:cs="Jost" w:eastAsia="Jost" w:hAnsi="Jost"/>
          <w:sz w:val="24"/>
          <w:szCs w:val="24"/>
        </w:rPr>
      </w:pPr>
      <w:r w:rsidDel="00000000" w:rsidR="00000000" w:rsidRPr="00000000">
        <w:rPr>
          <w:rFonts w:ascii="Jost" w:cs="Jost" w:eastAsia="Jost" w:hAnsi="Jost"/>
          <w:sz w:val="24"/>
          <w:szCs w:val="24"/>
          <w:rtl w:val="0"/>
        </w:rPr>
        <w:t xml:space="preserve">La médiathèque reste très reculée par rapport à la concentration de services formant la centralité de la commune. Elle est d’une part séparée spatialement, puisqu’elle se situe au milieu d’un espace résidentiel, marquant la finalité du centre-ville. </w:t>
      </w:r>
    </w:p>
    <w:p w:rsidR="00000000" w:rsidDel="00000000" w:rsidP="00000000" w:rsidRDefault="00000000" w:rsidRPr="00000000" w14:paraId="00000029">
      <w:pPr>
        <w:spacing w:after="0" w:before="0" w:lineRule="auto"/>
        <w:jc w:val="both"/>
        <w:rPr>
          <w:rFonts w:ascii="Jost" w:cs="Jost" w:eastAsia="Jost" w:hAnsi="Jost"/>
          <w:sz w:val="24"/>
          <w:szCs w:val="24"/>
        </w:rPr>
      </w:pPr>
      <w:r w:rsidDel="00000000" w:rsidR="00000000" w:rsidRPr="00000000">
        <w:rPr>
          <w:rFonts w:ascii="Jost" w:cs="Jost" w:eastAsia="Jost" w:hAnsi="Jost"/>
          <w:sz w:val="24"/>
          <w:szCs w:val="24"/>
          <w:rtl w:val="0"/>
        </w:rPr>
        <w:t xml:space="preserve">D’autre part, son accès est “caché”, peu de panneaux de signalisation à partir du centre-ville ou hors de celle-ci indique la médiathèque.</w:t>
      </w:r>
    </w:p>
    <w:p w:rsidR="00000000" w:rsidDel="00000000" w:rsidP="00000000" w:rsidRDefault="00000000" w:rsidRPr="00000000" w14:paraId="0000002A">
      <w:pPr>
        <w:spacing w:after="0" w:before="0" w:lineRule="auto"/>
        <w:jc w:val="both"/>
        <w:rPr>
          <w:rFonts w:ascii="Jost" w:cs="Jost" w:eastAsia="Jost" w:hAnsi="Jost"/>
          <w:sz w:val="24"/>
          <w:szCs w:val="24"/>
        </w:rPr>
      </w:pPr>
      <w:r w:rsidDel="00000000" w:rsidR="00000000" w:rsidRPr="00000000">
        <w:rPr>
          <w:rFonts w:ascii="Jost" w:cs="Jost" w:eastAsia="Jost" w:hAnsi="Jost"/>
          <w:sz w:val="24"/>
          <w:szCs w:val="24"/>
          <w:rtl w:val="0"/>
        </w:rPr>
        <w:t xml:space="preserve">Par ailleurs, l’entrée de la médiathèque ne paraît pas ouverte. Entourée de grilles (qui ne sont pas forcément fermées), ceux-ci n’invite alors pas à la visite, pourtant comportant un grand jardin qui a un fort potentiel accueillant pour de nombreux événements et d'activités récréatives. </w:t>
      </w:r>
    </w:p>
    <w:p w:rsidR="00000000" w:rsidDel="00000000" w:rsidP="00000000" w:rsidRDefault="00000000" w:rsidRPr="00000000" w14:paraId="0000002B">
      <w:pPr>
        <w:spacing w:after="0" w:before="0" w:lineRule="auto"/>
        <w:jc w:val="both"/>
        <w:rPr>
          <w:rFonts w:ascii="Jost" w:cs="Jost" w:eastAsia="Jost" w:hAnsi="Jost"/>
          <w:sz w:val="24"/>
          <w:szCs w:val="24"/>
        </w:rPr>
      </w:pPr>
      <w:r w:rsidDel="00000000" w:rsidR="00000000" w:rsidRPr="00000000">
        <w:rPr>
          <w:rFonts w:ascii="Jost" w:cs="Jost" w:eastAsia="Jost" w:hAnsi="Jost"/>
          <w:sz w:val="24"/>
          <w:szCs w:val="24"/>
          <w:rtl w:val="0"/>
        </w:rPr>
        <w:t xml:space="preserve">Aussi, l’accès piéton à l’extérieur de la médiathèque ne peut ne pas se faire facilement, puisque l’accès nord, rue de la Ranloue est peu sécurisé se trouvant au bord d’une route, où les trottoirs ne sont pas tous de largeur suffisante pour pouvoir les emprunter, notamment quand on vient du centre-ville, et d’autant plus en étant en mobilité réduite. De plus, l’accès sud se trouve au milieu d’une zone résidentielle, en empruntant ces rues, cela donne l’impression d'entrer dans un espace privé, qui ne mène nulle part.</w:t>
      </w:r>
    </w:p>
    <w:p w:rsidR="00000000" w:rsidDel="00000000" w:rsidP="00000000" w:rsidRDefault="00000000" w:rsidRPr="00000000" w14:paraId="0000002C">
      <w:pPr>
        <w:spacing w:after="0" w:before="0" w:lineRule="auto"/>
        <w:jc w:val="both"/>
        <w:rPr>
          <w:rFonts w:ascii="Jost" w:cs="Jost" w:eastAsia="Jost" w:hAnsi="Jost"/>
          <w:sz w:val="24"/>
          <w:szCs w:val="24"/>
        </w:rPr>
      </w:pPr>
      <w:r w:rsidDel="00000000" w:rsidR="00000000" w:rsidRPr="00000000">
        <w:rPr>
          <w:rtl w:val="0"/>
        </w:rPr>
      </w:r>
    </w:p>
    <w:p w:rsidR="00000000" w:rsidDel="00000000" w:rsidP="00000000" w:rsidRDefault="00000000" w:rsidRPr="00000000" w14:paraId="0000002D">
      <w:pPr>
        <w:spacing w:after="0" w:before="0" w:lineRule="auto"/>
        <w:ind w:left="0" w:firstLine="0"/>
        <w:jc w:val="both"/>
        <w:rPr>
          <w:rFonts w:ascii="Jost" w:cs="Jost" w:eastAsia="Jost" w:hAnsi="Jost"/>
          <w:sz w:val="24"/>
          <w:szCs w:val="24"/>
        </w:rPr>
      </w:pPr>
      <w:r w:rsidDel="00000000" w:rsidR="00000000" w:rsidRPr="00000000">
        <w:rPr>
          <w:rtl w:val="0"/>
        </w:rPr>
      </w:r>
    </w:p>
    <w:p w:rsidR="00000000" w:rsidDel="00000000" w:rsidP="00000000" w:rsidRDefault="00000000" w:rsidRPr="00000000" w14:paraId="0000002E">
      <w:pPr>
        <w:numPr>
          <w:ilvl w:val="0"/>
          <w:numId w:val="5"/>
        </w:numPr>
        <w:spacing w:after="0" w:before="0" w:lineRule="auto"/>
        <w:ind w:left="720" w:hanging="360"/>
        <w:jc w:val="both"/>
        <w:rPr>
          <w:rFonts w:ascii="Jost" w:cs="Jost" w:eastAsia="Jost" w:hAnsi="Jost"/>
          <w:sz w:val="24"/>
          <w:szCs w:val="24"/>
        </w:rPr>
      </w:pPr>
      <w:r w:rsidDel="00000000" w:rsidR="00000000" w:rsidRPr="00000000">
        <w:rPr>
          <w:rFonts w:ascii="Jost" w:cs="Jost" w:eastAsia="Jost" w:hAnsi="Jost"/>
          <w:sz w:val="24"/>
          <w:szCs w:val="24"/>
          <w:rtl w:val="0"/>
        </w:rPr>
        <w:t xml:space="preserve">Parc de l’Europe</w:t>
      </w:r>
    </w:p>
    <w:p w:rsidR="00000000" w:rsidDel="00000000" w:rsidP="00000000" w:rsidRDefault="00000000" w:rsidRPr="00000000" w14:paraId="0000002F">
      <w:pPr>
        <w:spacing w:after="0" w:before="0" w:lineRule="auto"/>
        <w:jc w:val="both"/>
        <w:rPr>
          <w:rFonts w:ascii="Jost" w:cs="Jost" w:eastAsia="Jost" w:hAnsi="Jost"/>
          <w:sz w:val="24"/>
          <w:szCs w:val="24"/>
        </w:rPr>
      </w:pPr>
      <w:r w:rsidDel="00000000" w:rsidR="00000000" w:rsidRPr="00000000">
        <w:rPr>
          <w:rFonts w:ascii="Jost" w:cs="Jost" w:eastAsia="Jost" w:hAnsi="Jost"/>
          <w:sz w:val="24"/>
          <w:szCs w:val="24"/>
          <w:rtl w:val="0"/>
        </w:rPr>
        <w:t xml:space="preserve">Le Parc de l’Europe, considéré comme le parc du centre-ville, dans l’aspect spatial, se trouve à la limite de la centralité, à l’entrée du centre-ville. Son entrée principale se trouve le long de la route d’Angers, axe très passant, qui peut nuire à l’aspect “lieux apaisant”. A part cet axe important allant vers le centre-ville, ce parc n’est relié que par cette route, donnant l’impression d’une exclusion de la notion de centralité où les gens se baladent, se déplacent de manière plus douce (vélo, à pied).</w:t>
      </w:r>
    </w:p>
    <w:p w:rsidR="00000000" w:rsidDel="00000000" w:rsidP="00000000" w:rsidRDefault="00000000" w:rsidRPr="00000000" w14:paraId="00000030">
      <w:pPr>
        <w:spacing w:after="0" w:before="0" w:lineRule="auto"/>
        <w:jc w:val="both"/>
        <w:rPr>
          <w:rFonts w:ascii="Jost" w:cs="Jost" w:eastAsia="Jost" w:hAnsi="Jost"/>
          <w:sz w:val="24"/>
          <w:szCs w:val="24"/>
        </w:rPr>
      </w:pPr>
      <w:r w:rsidDel="00000000" w:rsidR="00000000" w:rsidRPr="00000000">
        <w:rPr>
          <w:rFonts w:ascii="Jost" w:cs="Jost" w:eastAsia="Jost" w:hAnsi="Jost"/>
          <w:sz w:val="24"/>
          <w:szCs w:val="24"/>
          <w:rtl w:val="0"/>
        </w:rPr>
        <w:t xml:space="preserve">Les autres accès au parc ne sont pas tant indiqués, et ne montrent pas non plus une entrée de parc ouverte. </w:t>
      </w:r>
    </w:p>
    <w:p w:rsidR="00000000" w:rsidDel="00000000" w:rsidP="00000000" w:rsidRDefault="00000000" w:rsidRPr="00000000" w14:paraId="00000031">
      <w:pPr>
        <w:spacing w:after="0" w:before="0" w:lineRule="auto"/>
        <w:jc w:val="both"/>
        <w:rPr>
          <w:rFonts w:ascii="Jost" w:cs="Jost" w:eastAsia="Jost" w:hAnsi="Jost"/>
          <w:sz w:val="24"/>
          <w:szCs w:val="24"/>
        </w:rPr>
      </w:pPr>
      <w:r w:rsidDel="00000000" w:rsidR="00000000" w:rsidRPr="00000000">
        <w:rPr>
          <w:rFonts w:ascii="Jost" w:cs="Jost" w:eastAsia="Jost" w:hAnsi="Jost"/>
          <w:sz w:val="24"/>
          <w:szCs w:val="24"/>
          <w:rtl w:val="0"/>
        </w:rPr>
        <w:t xml:space="preserve">Cependant le parc de l’Europe est un lieu de passage reliant de nombreux points au centre-ville.</w:t>
      </w:r>
    </w:p>
    <w:p w:rsidR="00000000" w:rsidDel="00000000" w:rsidP="00000000" w:rsidRDefault="00000000" w:rsidRPr="00000000" w14:paraId="00000032">
      <w:pPr>
        <w:spacing w:after="0" w:before="0" w:lineRule="auto"/>
        <w:ind w:left="0" w:firstLine="0"/>
        <w:jc w:val="both"/>
        <w:rPr>
          <w:rFonts w:ascii="Jost" w:cs="Jost" w:eastAsia="Jost" w:hAnsi="Jost"/>
          <w:sz w:val="24"/>
          <w:szCs w:val="24"/>
        </w:rPr>
      </w:pPr>
      <w:r w:rsidDel="00000000" w:rsidR="00000000" w:rsidRPr="00000000">
        <w:rPr>
          <w:rtl w:val="0"/>
        </w:rPr>
      </w:r>
    </w:p>
    <w:p w:rsidR="00000000" w:rsidDel="00000000" w:rsidP="00000000" w:rsidRDefault="00000000" w:rsidRPr="00000000" w14:paraId="00000033">
      <w:pPr>
        <w:spacing w:after="0" w:before="0" w:lineRule="auto"/>
        <w:ind w:left="0" w:firstLine="0"/>
        <w:jc w:val="both"/>
        <w:rPr>
          <w:rFonts w:ascii="Jost" w:cs="Jost" w:eastAsia="Jost" w:hAnsi="Jost"/>
          <w:sz w:val="24"/>
          <w:szCs w:val="24"/>
        </w:rPr>
      </w:pPr>
      <w:r w:rsidDel="00000000" w:rsidR="00000000" w:rsidRPr="00000000">
        <w:rPr>
          <w:rtl w:val="0"/>
        </w:rPr>
      </w:r>
    </w:p>
    <w:p w:rsidR="00000000" w:rsidDel="00000000" w:rsidP="00000000" w:rsidRDefault="00000000" w:rsidRPr="00000000" w14:paraId="00000034">
      <w:pPr>
        <w:pStyle w:val="Heading1"/>
        <w:numPr>
          <w:ilvl w:val="0"/>
          <w:numId w:val="2"/>
        </w:numPr>
        <w:spacing w:after="0" w:before="0" w:lineRule="auto"/>
        <w:ind w:left="720" w:hanging="360"/>
        <w:rPr>
          <w:sz w:val="24"/>
          <w:szCs w:val="24"/>
        </w:rPr>
      </w:pPr>
      <w:bookmarkStart w:colFirst="0" w:colLast="0" w:name="_fovr2alpac1t" w:id="3"/>
      <w:bookmarkEnd w:id="3"/>
      <w:r w:rsidDel="00000000" w:rsidR="00000000" w:rsidRPr="00000000">
        <w:rPr>
          <w:sz w:val="24"/>
          <w:szCs w:val="24"/>
          <w:rtl w:val="0"/>
        </w:rPr>
        <w:t xml:space="preserve">Lieux saturation : Became Boulangerie &amp; Restaurant, Crédit/</w:t>
      </w:r>
      <w:r w:rsidDel="00000000" w:rsidR="00000000" w:rsidRPr="00000000">
        <w:rPr>
          <w:sz w:val="24"/>
          <w:szCs w:val="24"/>
          <w:rtl w:val="0"/>
        </w:rPr>
        <w:t xml:space="preserve">Poste</w:t>
      </w:r>
      <w:r w:rsidDel="00000000" w:rsidR="00000000" w:rsidRPr="00000000">
        <w:rPr>
          <w:sz w:val="24"/>
          <w:szCs w:val="24"/>
          <w:rtl w:val="0"/>
        </w:rPr>
        <w:t xml:space="preserve">, Super U</w:t>
      </w:r>
      <w:r w:rsidDel="00000000" w:rsidR="00000000" w:rsidRPr="00000000">
        <w:rPr>
          <w:rtl w:val="0"/>
        </w:rPr>
      </w:r>
    </w:p>
    <w:p w:rsidR="00000000" w:rsidDel="00000000" w:rsidP="00000000" w:rsidRDefault="00000000" w:rsidRPr="00000000" w14:paraId="00000035">
      <w:pPr>
        <w:spacing w:after="0" w:before="0" w:lineRule="auto"/>
        <w:ind w:left="0" w:firstLine="0"/>
        <w:jc w:val="both"/>
        <w:rPr>
          <w:rFonts w:ascii="Jost" w:cs="Jost" w:eastAsia="Jost" w:hAnsi="Jost"/>
          <w:sz w:val="24"/>
          <w:szCs w:val="24"/>
        </w:rPr>
      </w:pPr>
      <w:r w:rsidDel="00000000" w:rsidR="00000000" w:rsidRPr="00000000">
        <w:rPr>
          <w:rFonts w:ascii="Jost" w:cs="Jost" w:eastAsia="Jost" w:hAnsi="Jost"/>
          <w:sz w:val="24"/>
          <w:szCs w:val="24"/>
        </w:rPr>
        <w:drawing>
          <wp:inline distB="114300" distT="114300" distL="114300" distR="114300">
            <wp:extent cx="6372000" cy="3937000"/>
            <wp:effectExtent b="0" l="0" r="0" t="0"/>
            <wp:docPr descr="Graphique" id="5" name="image2.png"/>
            <a:graphic>
              <a:graphicData uri="http://schemas.openxmlformats.org/drawingml/2006/picture">
                <pic:pic>
                  <pic:nvPicPr>
                    <pic:cNvPr descr="Graphique" id="0" name="image2.png"/>
                    <pic:cNvPicPr preferRelativeResize="0"/>
                  </pic:nvPicPr>
                  <pic:blipFill>
                    <a:blip r:embed="rId10"/>
                    <a:srcRect b="0" l="0" r="0" t="0"/>
                    <a:stretch>
                      <a:fillRect/>
                    </a:stretch>
                  </pic:blipFill>
                  <pic:spPr>
                    <a:xfrm>
                      <a:off x="0" y="0"/>
                      <a:ext cx="6372000" cy="3937000"/>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spacing w:after="0" w:before="0" w:lineRule="auto"/>
        <w:ind w:left="0" w:firstLine="0"/>
        <w:jc w:val="both"/>
        <w:rPr>
          <w:rFonts w:ascii="Jost" w:cs="Jost" w:eastAsia="Jost" w:hAnsi="Jost"/>
          <w:sz w:val="24"/>
          <w:szCs w:val="24"/>
        </w:rPr>
      </w:pPr>
      <w:r w:rsidDel="00000000" w:rsidR="00000000" w:rsidRPr="00000000">
        <w:rPr>
          <w:rtl w:val="0"/>
        </w:rPr>
      </w:r>
    </w:p>
    <w:p w:rsidR="00000000" w:rsidDel="00000000" w:rsidP="00000000" w:rsidRDefault="00000000" w:rsidRPr="00000000" w14:paraId="00000037">
      <w:pPr>
        <w:spacing w:after="0" w:before="0" w:lineRule="auto"/>
        <w:ind w:left="0" w:firstLine="0"/>
        <w:jc w:val="both"/>
        <w:rPr>
          <w:rFonts w:ascii="Jost" w:cs="Jost" w:eastAsia="Jost" w:hAnsi="Jost"/>
          <w:sz w:val="24"/>
          <w:szCs w:val="24"/>
          <w:u w:val="single"/>
        </w:rPr>
      </w:pPr>
      <w:r w:rsidDel="00000000" w:rsidR="00000000" w:rsidRPr="00000000">
        <w:rPr>
          <w:rFonts w:ascii="Jost" w:cs="Jost" w:eastAsia="Jost" w:hAnsi="Jost"/>
          <w:sz w:val="24"/>
          <w:szCs w:val="24"/>
          <w:u w:val="single"/>
          <w:rtl w:val="0"/>
        </w:rPr>
        <w:t xml:space="preserve">Intersection boulangerie Became, Crédit Agricole, Art’ Kad :</w:t>
      </w:r>
    </w:p>
    <w:p w:rsidR="00000000" w:rsidDel="00000000" w:rsidP="00000000" w:rsidRDefault="00000000" w:rsidRPr="00000000" w14:paraId="00000038">
      <w:pPr>
        <w:spacing w:after="0" w:before="0" w:lineRule="auto"/>
        <w:ind w:left="0" w:firstLine="0"/>
        <w:jc w:val="both"/>
        <w:rPr>
          <w:rFonts w:ascii="Jost" w:cs="Jost" w:eastAsia="Jost" w:hAnsi="Jost"/>
          <w:sz w:val="24"/>
          <w:szCs w:val="24"/>
        </w:rPr>
      </w:pPr>
      <w:r w:rsidDel="00000000" w:rsidR="00000000" w:rsidRPr="00000000">
        <w:rPr>
          <w:rFonts w:ascii="Jost" w:cs="Jost" w:eastAsia="Jost" w:hAnsi="Jost"/>
          <w:sz w:val="24"/>
          <w:szCs w:val="24"/>
          <w:rtl w:val="0"/>
        </w:rPr>
        <w:t xml:space="preserve">Son affluence s’explique car cette intersection correspond à l’entrée de l’hyper-centre via la route d’Angers.</w:t>
      </w:r>
    </w:p>
    <w:p w:rsidR="00000000" w:rsidDel="00000000" w:rsidP="00000000" w:rsidRDefault="00000000" w:rsidRPr="00000000" w14:paraId="00000039">
      <w:pPr>
        <w:spacing w:after="0" w:before="0" w:lineRule="auto"/>
        <w:ind w:left="0" w:firstLine="0"/>
        <w:jc w:val="both"/>
        <w:rPr>
          <w:rFonts w:ascii="Jost" w:cs="Jost" w:eastAsia="Jost" w:hAnsi="Jost"/>
          <w:sz w:val="24"/>
          <w:szCs w:val="24"/>
        </w:rPr>
      </w:pPr>
      <w:r w:rsidDel="00000000" w:rsidR="00000000" w:rsidRPr="00000000">
        <w:rPr>
          <w:rtl w:val="0"/>
        </w:rPr>
      </w:r>
    </w:p>
    <w:p w:rsidR="00000000" w:rsidDel="00000000" w:rsidP="00000000" w:rsidRDefault="00000000" w:rsidRPr="00000000" w14:paraId="0000003A">
      <w:pPr>
        <w:spacing w:after="0" w:before="0" w:lineRule="auto"/>
        <w:ind w:left="0" w:firstLine="0"/>
        <w:jc w:val="both"/>
        <w:rPr>
          <w:rFonts w:ascii="Jost" w:cs="Jost" w:eastAsia="Jost" w:hAnsi="Jost"/>
          <w:sz w:val="24"/>
          <w:szCs w:val="24"/>
          <w:u w:val="single"/>
        </w:rPr>
      </w:pPr>
      <w:r w:rsidDel="00000000" w:rsidR="00000000" w:rsidRPr="00000000">
        <w:rPr>
          <w:rFonts w:ascii="Jost" w:cs="Jost" w:eastAsia="Jost" w:hAnsi="Jost"/>
          <w:sz w:val="24"/>
          <w:szCs w:val="24"/>
          <w:u w:val="single"/>
          <w:rtl w:val="0"/>
        </w:rPr>
        <w:t xml:space="preserve">Intersection Crédit Mutuel, la Poste :</w:t>
      </w:r>
    </w:p>
    <w:p w:rsidR="00000000" w:rsidDel="00000000" w:rsidP="00000000" w:rsidRDefault="00000000" w:rsidRPr="00000000" w14:paraId="0000003B">
      <w:pPr>
        <w:spacing w:after="0" w:before="0" w:lineRule="auto"/>
        <w:ind w:left="0" w:firstLine="0"/>
        <w:jc w:val="both"/>
        <w:rPr>
          <w:rFonts w:ascii="Jost" w:cs="Jost" w:eastAsia="Jost" w:hAnsi="Jost"/>
          <w:sz w:val="24"/>
          <w:szCs w:val="24"/>
        </w:rPr>
      </w:pPr>
      <w:r w:rsidDel="00000000" w:rsidR="00000000" w:rsidRPr="00000000">
        <w:rPr>
          <w:rFonts w:ascii="Jost" w:cs="Jost" w:eastAsia="Jost" w:hAnsi="Jost"/>
          <w:sz w:val="24"/>
          <w:szCs w:val="24"/>
          <w:rtl w:val="0"/>
        </w:rPr>
        <w:t xml:space="preserve">Son affluence suit celle de l’intersection Boulangerie Became, elle montre la “fin” du centre-ville et suit la route d’Angers</w:t>
      </w:r>
    </w:p>
    <w:p w:rsidR="00000000" w:rsidDel="00000000" w:rsidP="00000000" w:rsidRDefault="00000000" w:rsidRPr="00000000" w14:paraId="0000003C">
      <w:pPr>
        <w:spacing w:after="0" w:before="0" w:lineRule="auto"/>
        <w:ind w:left="0" w:firstLine="0"/>
        <w:jc w:val="both"/>
        <w:rPr>
          <w:rFonts w:ascii="Jost" w:cs="Jost" w:eastAsia="Jost" w:hAnsi="Jost"/>
          <w:sz w:val="24"/>
          <w:szCs w:val="24"/>
        </w:rPr>
      </w:pPr>
      <w:r w:rsidDel="00000000" w:rsidR="00000000" w:rsidRPr="00000000">
        <w:rPr>
          <w:rtl w:val="0"/>
        </w:rPr>
      </w:r>
    </w:p>
    <w:p w:rsidR="00000000" w:rsidDel="00000000" w:rsidP="00000000" w:rsidRDefault="00000000" w:rsidRPr="00000000" w14:paraId="0000003D">
      <w:pPr>
        <w:spacing w:after="0" w:before="0" w:lineRule="auto"/>
        <w:ind w:left="0" w:firstLine="0"/>
        <w:jc w:val="both"/>
        <w:rPr>
          <w:rFonts w:ascii="Jost" w:cs="Jost" w:eastAsia="Jost" w:hAnsi="Jost"/>
          <w:sz w:val="24"/>
          <w:szCs w:val="24"/>
          <w:u w:val="single"/>
        </w:rPr>
      </w:pPr>
      <w:r w:rsidDel="00000000" w:rsidR="00000000" w:rsidRPr="00000000">
        <w:rPr>
          <w:rFonts w:ascii="Jost" w:cs="Jost" w:eastAsia="Jost" w:hAnsi="Jost"/>
          <w:sz w:val="24"/>
          <w:szCs w:val="24"/>
          <w:u w:val="single"/>
          <w:rtl w:val="0"/>
        </w:rPr>
        <w:t xml:space="preserve">Super U :</w:t>
      </w:r>
    </w:p>
    <w:p w:rsidR="00000000" w:rsidDel="00000000" w:rsidP="00000000" w:rsidRDefault="00000000" w:rsidRPr="00000000" w14:paraId="0000003E">
      <w:pPr>
        <w:spacing w:after="0" w:before="0" w:lineRule="auto"/>
        <w:ind w:left="0" w:firstLine="0"/>
        <w:jc w:val="both"/>
        <w:rPr>
          <w:rFonts w:ascii="Jost" w:cs="Jost" w:eastAsia="Jost" w:hAnsi="Jost"/>
          <w:sz w:val="24"/>
          <w:szCs w:val="24"/>
        </w:rPr>
      </w:pPr>
      <w:r w:rsidDel="00000000" w:rsidR="00000000" w:rsidRPr="00000000">
        <w:rPr>
          <w:rFonts w:ascii="Jost" w:cs="Jost" w:eastAsia="Jost" w:hAnsi="Jost"/>
          <w:sz w:val="24"/>
          <w:szCs w:val="24"/>
          <w:rtl w:val="0"/>
        </w:rPr>
        <w:t xml:space="preserve">La zone du super U représente l'hyper-centre de la concentration de tous les services de St. Barth, elle est très fréquentée grâce à celà.</w:t>
      </w:r>
      <w:r w:rsidDel="00000000" w:rsidR="00000000" w:rsidRPr="00000000">
        <w:rPr>
          <w:rtl w:val="0"/>
        </w:rPr>
      </w:r>
    </w:p>
    <w:p w:rsidR="00000000" w:rsidDel="00000000" w:rsidP="00000000" w:rsidRDefault="00000000" w:rsidRPr="00000000" w14:paraId="0000003F">
      <w:pPr>
        <w:spacing w:after="0" w:before="0" w:lineRule="auto"/>
        <w:ind w:left="0" w:firstLine="0"/>
        <w:jc w:val="both"/>
        <w:rPr>
          <w:rFonts w:ascii="Jost" w:cs="Jost" w:eastAsia="Jost" w:hAnsi="Jost"/>
          <w:sz w:val="24"/>
          <w:szCs w:val="24"/>
        </w:rPr>
      </w:pPr>
      <w:r w:rsidDel="00000000" w:rsidR="00000000" w:rsidRPr="00000000">
        <w:rPr>
          <w:rtl w:val="0"/>
        </w:rPr>
      </w:r>
    </w:p>
    <w:p w:rsidR="00000000" w:rsidDel="00000000" w:rsidP="00000000" w:rsidRDefault="00000000" w:rsidRPr="00000000" w14:paraId="00000040">
      <w:pPr>
        <w:pStyle w:val="Heading1"/>
        <w:numPr>
          <w:ilvl w:val="0"/>
          <w:numId w:val="2"/>
        </w:numPr>
        <w:spacing w:after="0" w:before="0" w:lineRule="auto"/>
        <w:ind w:left="720" w:hanging="360"/>
        <w:rPr>
          <w:sz w:val="24"/>
          <w:szCs w:val="24"/>
        </w:rPr>
      </w:pPr>
      <w:bookmarkStart w:colFirst="0" w:colLast="0" w:name="_qkqdz03ysl5t" w:id="4"/>
      <w:bookmarkEnd w:id="4"/>
      <w:r w:rsidDel="00000000" w:rsidR="00000000" w:rsidRPr="00000000">
        <w:rPr>
          <w:sz w:val="24"/>
          <w:szCs w:val="24"/>
          <w:rtl w:val="0"/>
        </w:rPr>
        <w:t xml:space="preserve">Lieux conflictuels</w:t>
      </w:r>
    </w:p>
    <w:p w:rsidR="00000000" w:rsidDel="00000000" w:rsidP="00000000" w:rsidRDefault="00000000" w:rsidRPr="00000000" w14:paraId="00000041">
      <w:pPr>
        <w:spacing w:after="0" w:before="0" w:lineRule="auto"/>
        <w:ind w:left="0" w:firstLine="0"/>
        <w:jc w:val="both"/>
        <w:rPr>
          <w:rFonts w:ascii="Jost" w:cs="Jost" w:eastAsia="Jost" w:hAnsi="Jost"/>
          <w:sz w:val="24"/>
          <w:szCs w:val="24"/>
        </w:rPr>
      </w:pPr>
      <w:r w:rsidDel="00000000" w:rsidR="00000000" w:rsidRPr="00000000">
        <w:rPr>
          <w:rtl w:val="0"/>
        </w:rPr>
      </w:r>
    </w:p>
    <w:p w:rsidR="00000000" w:rsidDel="00000000" w:rsidP="00000000" w:rsidRDefault="00000000" w:rsidRPr="00000000" w14:paraId="00000042">
      <w:pPr>
        <w:jc w:val="both"/>
        <w:rPr>
          <w:rFonts w:ascii="Jost" w:cs="Jost" w:eastAsia="Jost" w:hAnsi="Jost"/>
          <w:sz w:val="24"/>
          <w:szCs w:val="24"/>
        </w:rPr>
      </w:pPr>
      <w:r w:rsidDel="00000000" w:rsidR="00000000" w:rsidRPr="00000000">
        <w:rPr>
          <w:rtl w:val="0"/>
        </w:rPr>
      </w:r>
    </w:p>
    <w:p w:rsidR="00000000" w:rsidDel="00000000" w:rsidP="00000000" w:rsidRDefault="00000000" w:rsidRPr="00000000" w14:paraId="00000043">
      <w:pPr>
        <w:numPr>
          <w:ilvl w:val="0"/>
          <w:numId w:val="6"/>
        </w:numPr>
        <w:ind w:left="720" w:hanging="360"/>
        <w:jc w:val="both"/>
        <w:rPr>
          <w:rFonts w:ascii="Jost" w:cs="Jost" w:eastAsia="Jost" w:hAnsi="Jost"/>
          <w:b w:val="1"/>
          <w:sz w:val="24"/>
          <w:szCs w:val="24"/>
          <w:u w:val="none"/>
        </w:rPr>
      </w:pPr>
      <w:r w:rsidDel="00000000" w:rsidR="00000000" w:rsidRPr="00000000">
        <w:rPr>
          <w:rFonts w:ascii="Jost" w:cs="Jost" w:eastAsia="Jost" w:hAnsi="Jost"/>
          <w:b w:val="1"/>
          <w:sz w:val="24"/>
          <w:szCs w:val="24"/>
          <w:rtl w:val="0"/>
        </w:rPr>
        <w:t xml:space="preserve">La délocalisation du marché de Saint-Barthélemy d’Anjou</w:t>
      </w:r>
      <w:r w:rsidDel="00000000" w:rsidR="00000000" w:rsidRPr="00000000">
        <w:rPr>
          <w:rtl w:val="0"/>
        </w:rPr>
      </w:r>
    </w:p>
    <w:p w:rsidR="00000000" w:rsidDel="00000000" w:rsidP="00000000" w:rsidRDefault="00000000" w:rsidRPr="00000000" w14:paraId="00000044">
      <w:pPr>
        <w:jc w:val="both"/>
        <w:rPr>
          <w:rFonts w:ascii="Jost" w:cs="Jost" w:eastAsia="Jost" w:hAnsi="Jost"/>
          <w:sz w:val="24"/>
          <w:szCs w:val="24"/>
        </w:rPr>
      </w:pPr>
      <w:r w:rsidDel="00000000" w:rsidR="00000000" w:rsidRPr="00000000">
        <w:rPr>
          <w:rFonts w:ascii="Jost" w:cs="Jost" w:eastAsia="Jost" w:hAnsi="Jost"/>
          <w:sz w:val="24"/>
          <w:szCs w:val="24"/>
          <w:rtl w:val="0"/>
        </w:rPr>
        <w:t xml:space="preserve">Le marché de saint Barthélemy était connu pour avoir lieu sur la place du marché, au lieu de cela aujourd'hui le marché à lieu Place Salvador Allende, qu’on appelle également le Parking Super U. Plusieurs se sont plaints de cette délocalisation, car cela n'est pas le lieu symbolique et pas le lieu adéquat, car le parking de la place du Marché est l’espace réservé à cette activité. Cette délocalisation vers le parking du Super U, supprime des places de parking et empêche l’accès aux commerces. (JPG)</w:t>
      </w:r>
    </w:p>
    <w:p w:rsidR="00000000" w:rsidDel="00000000" w:rsidP="00000000" w:rsidRDefault="00000000" w:rsidRPr="00000000" w14:paraId="00000045">
      <w:pPr>
        <w:rPr>
          <w:rFonts w:ascii="Jost" w:cs="Jost" w:eastAsia="Jost" w:hAnsi="Jost"/>
          <w:sz w:val="24"/>
          <w:szCs w:val="24"/>
        </w:rPr>
      </w:pPr>
      <w:r w:rsidDel="00000000" w:rsidR="00000000" w:rsidRPr="00000000">
        <w:rPr>
          <w:rtl w:val="0"/>
        </w:rPr>
      </w:r>
    </w:p>
    <w:p w:rsidR="00000000" w:rsidDel="00000000" w:rsidP="00000000" w:rsidRDefault="00000000" w:rsidRPr="00000000" w14:paraId="00000046">
      <w:pPr>
        <w:numPr>
          <w:ilvl w:val="0"/>
          <w:numId w:val="4"/>
        </w:numPr>
        <w:ind w:left="720" w:hanging="360"/>
        <w:rPr>
          <w:rFonts w:ascii="Jost" w:cs="Jost" w:eastAsia="Jost" w:hAnsi="Jost"/>
          <w:b w:val="1"/>
          <w:sz w:val="24"/>
          <w:szCs w:val="24"/>
          <w:u w:val="none"/>
        </w:rPr>
      </w:pPr>
      <w:r w:rsidDel="00000000" w:rsidR="00000000" w:rsidRPr="00000000">
        <w:rPr>
          <w:rFonts w:ascii="Jost" w:cs="Jost" w:eastAsia="Jost" w:hAnsi="Jost"/>
          <w:b w:val="1"/>
          <w:sz w:val="24"/>
          <w:szCs w:val="24"/>
          <w:rtl w:val="0"/>
        </w:rPr>
        <w:t xml:space="preserve">La place du Super U au sein de la commune</w:t>
      </w:r>
      <w:r w:rsidDel="00000000" w:rsidR="00000000" w:rsidRPr="00000000">
        <w:rPr>
          <w:rtl w:val="0"/>
        </w:rPr>
      </w:r>
    </w:p>
    <w:p w:rsidR="00000000" w:rsidDel="00000000" w:rsidP="00000000" w:rsidRDefault="00000000" w:rsidRPr="00000000" w14:paraId="00000047">
      <w:pPr>
        <w:jc w:val="both"/>
        <w:rPr>
          <w:rFonts w:ascii="Jost" w:cs="Jost" w:eastAsia="Jost" w:hAnsi="Jost"/>
          <w:sz w:val="24"/>
          <w:szCs w:val="24"/>
        </w:rPr>
      </w:pPr>
      <w:r w:rsidDel="00000000" w:rsidR="00000000" w:rsidRPr="00000000">
        <w:rPr>
          <w:rFonts w:ascii="Jost" w:cs="Jost" w:eastAsia="Jost" w:hAnsi="Jost"/>
          <w:sz w:val="24"/>
          <w:szCs w:val="24"/>
          <w:rtl w:val="0"/>
        </w:rPr>
        <w:t xml:space="preserve">La place du Super U dans la commune soulève beaucoup de question, car il fait parti du “centre“ de la commune mais en soit le fait qu’il est considéré comme le “centre-ville” de la commune pose question sur la centralité de la commune de Saint-Barthélemy-d’Anjou, car un commerce ne peux pas en soi définir le “centre-ville” d’une commune mais le centre est plus défini par sa mairie ou son église, hors à Saint- Barthélemy- d’Anjou, l’église et la mairie désigne des lieux où il y a peu de passage et pas de saturation ce qui signifie que ce n’est pas le centre de “passage” de la commune, mais la saturation de véhicule et ainsi de passage se situe bien à la place Salvador Allende où le Super U se situe.</w:t>
      </w:r>
    </w:p>
    <w:p w:rsidR="00000000" w:rsidDel="00000000" w:rsidP="00000000" w:rsidRDefault="00000000" w:rsidRPr="00000000" w14:paraId="00000048">
      <w:pPr>
        <w:jc w:val="both"/>
        <w:rPr>
          <w:rFonts w:ascii="Jost" w:cs="Jost" w:eastAsia="Jost" w:hAnsi="Jost"/>
          <w:sz w:val="24"/>
          <w:szCs w:val="24"/>
        </w:rPr>
      </w:pPr>
      <w:r w:rsidDel="00000000" w:rsidR="00000000" w:rsidRPr="00000000">
        <w:rPr>
          <w:rtl w:val="0"/>
        </w:rPr>
      </w:r>
    </w:p>
    <w:p w:rsidR="00000000" w:rsidDel="00000000" w:rsidP="00000000" w:rsidRDefault="00000000" w:rsidRPr="00000000" w14:paraId="00000049">
      <w:pPr>
        <w:jc w:val="both"/>
        <w:rPr>
          <w:rFonts w:ascii="Jost" w:cs="Jost" w:eastAsia="Jost" w:hAnsi="Jost"/>
          <w:sz w:val="24"/>
          <w:szCs w:val="24"/>
        </w:rPr>
      </w:pPr>
      <w:r w:rsidDel="00000000" w:rsidR="00000000" w:rsidRPr="00000000">
        <w:rPr>
          <w:rFonts w:ascii="Jost" w:cs="Jost" w:eastAsia="Jost" w:hAnsi="Jost"/>
          <w:sz w:val="24"/>
          <w:szCs w:val="24"/>
          <w:rtl w:val="0"/>
        </w:rPr>
        <w:t xml:space="preserve">La majorité des gens interrogés sur la commune, sont contents de la place de ce commerce mais ne se soucient pas de la centralité de la commune.</w:t>
      </w:r>
    </w:p>
    <w:p w:rsidR="00000000" w:rsidDel="00000000" w:rsidP="00000000" w:rsidRDefault="00000000" w:rsidRPr="00000000" w14:paraId="0000004A">
      <w:pPr>
        <w:jc w:val="both"/>
        <w:rPr>
          <w:rFonts w:ascii="Jost" w:cs="Jost" w:eastAsia="Jost" w:hAnsi="Jost"/>
          <w:sz w:val="24"/>
          <w:szCs w:val="24"/>
        </w:rPr>
      </w:pPr>
      <w:r w:rsidDel="00000000" w:rsidR="00000000" w:rsidRPr="00000000">
        <w:rPr>
          <w:rtl w:val="0"/>
        </w:rPr>
      </w:r>
    </w:p>
    <w:p w:rsidR="00000000" w:rsidDel="00000000" w:rsidP="00000000" w:rsidRDefault="00000000" w:rsidRPr="00000000" w14:paraId="0000004B">
      <w:pPr>
        <w:jc w:val="both"/>
        <w:rPr>
          <w:rFonts w:ascii="Jost" w:cs="Jost" w:eastAsia="Jost" w:hAnsi="Jost"/>
          <w:sz w:val="26"/>
          <w:szCs w:val="26"/>
        </w:rPr>
      </w:pPr>
      <w:r w:rsidDel="00000000" w:rsidR="00000000" w:rsidRPr="00000000">
        <w:rPr>
          <w:rFonts w:ascii="Jost" w:cs="Jost" w:eastAsia="Jost" w:hAnsi="Jost"/>
          <w:sz w:val="24"/>
          <w:szCs w:val="24"/>
          <w:rtl w:val="0"/>
        </w:rPr>
        <w:t xml:space="preserve">Car géographiquement, ce Super U est placé trop près de l’église et de la mairie de la commune ce qui fait qu’il masque indirectement ces 2 repères de centralité de la commune.</w:t>
      </w:r>
      <w:r w:rsidDel="00000000" w:rsidR="00000000" w:rsidRPr="00000000">
        <w:rPr>
          <w:rtl w:val="0"/>
        </w:rPr>
      </w:r>
    </w:p>
    <w:p w:rsidR="00000000" w:rsidDel="00000000" w:rsidP="00000000" w:rsidRDefault="00000000" w:rsidRPr="00000000" w14:paraId="0000004C">
      <w:pPr>
        <w:jc w:val="both"/>
        <w:rPr>
          <w:rFonts w:ascii="Jost" w:cs="Jost" w:eastAsia="Jost" w:hAnsi="Jost"/>
          <w:sz w:val="24"/>
          <w:szCs w:val="24"/>
        </w:rPr>
      </w:pPr>
      <w:r w:rsidDel="00000000" w:rsidR="00000000" w:rsidRPr="00000000">
        <w:rPr>
          <w:rtl w:val="0"/>
        </w:rPr>
      </w:r>
    </w:p>
    <w:p w:rsidR="00000000" w:rsidDel="00000000" w:rsidP="00000000" w:rsidRDefault="00000000" w:rsidRPr="00000000" w14:paraId="0000004D">
      <w:pPr>
        <w:spacing w:after="0" w:before="0" w:lineRule="auto"/>
        <w:ind w:left="0" w:firstLine="0"/>
        <w:jc w:val="both"/>
        <w:rPr>
          <w:rFonts w:ascii="Jost" w:cs="Jost" w:eastAsia="Jost" w:hAnsi="Jost"/>
          <w:sz w:val="24"/>
          <w:szCs w:val="24"/>
        </w:rPr>
      </w:pPr>
      <w:r w:rsidDel="00000000" w:rsidR="00000000" w:rsidRPr="00000000">
        <w:rPr>
          <w:rtl w:val="0"/>
        </w:rPr>
      </w:r>
    </w:p>
    <w:p w:rsidR="00000000" w:rsidDel="00000000" w:rsidP="00000000" w:rsidRDefault="00000000" w:rsidRPr="00000000" w14:paraId="0000004E">
      <w:pPr>
        <w:spacing w:after="0" w:before="0" w:lineRule="auto"/>
        <w:ind w:left="0" w:firstLine="0"/>
        <w:jc w:val="both"/>
        <w:rPr>
          <w:rFonts w:ascii="Jost" w:cs="Jost" w:eastAsia="Jost" w:hAnsi="Jost"/>
          <w:sz w:val="24"/>
          <w:szCs w:val="24"/>
        </w:rPr>
      </w:pPr>
      <w:r w:rsidDel="00000000" w:rsidR="00000000" w:rsidRPr="00000000">
        <w:rPr>
          <w:rtl w:val="0"/>
        </w:rPr>
      </w:r>
    </w:p>
    <w:p w:rsidR="00000000" w:rsidDel="00000000" w:rsidP="00000000" w:rsidRDefault="00000000" w:rsidRPr="00000000" w14:paraId="0000004F">
      <w:pPr>
        <w:pStyle w:val="Heading1"/>
        <w:numPr>
          <w:ilvl w:val="0"/>
          <w:numId w:val="2"/>
        </w:numPr>
        <w:spacing w:after="0" w:before="0" w:lineRule="auto"/>
        <w:ind w:left="720" w:hanging="360"/>
        <w:rPr>
          <w:sz w:val="24"/>
          <w:szCs w:val="24"/>
        </w:rPr>
      </w:pPr>
      <w:bookmarkStart w:colFirst="0" w:colLast="0" w:name="_hbf0bav6cpio" w:id="5"/>
      <w:bookmarkEnd w:id="5"/>
      <w:r w:rsidDel="00000000" w:rsidR="00000000" w:rsidRPr="00000000">
        <w:rPr>
          <w:sz w:val="24"/>
          <w:szCs w:val="24"/>
          <w:rtl w:val="0"/>
        </w:rPr>
        <w:t xml:space="preserve">Activité médiathèque </w:t>
      </w:r>
      <w:r w:rsidDel="00000000" w:rsidR="00000000" w:rsidRPr="00000000">
        <w:rPr>
          <w:rtl w:val="0"/>
        </w:rPr>
      </w:r>
    </w:p>
    <w:p w:rsidR="00000000" w:rsidDel="00000000" w:rsidP="00000000" w:rsidRDefault="00000000" w:rsidRPr="00000000" w14:paraId="00000050">
      <w:pPr>
        <w:keepNext w:val="1"/>
        <w:keepLines w:val="1"/>
        <w:numPr>
          <w:ilvl w:val="0"/>
          <w:numId w:val="1"/>
        </w:numPr>
        <w:spacing w:after="0" w:before="0" w:lineRule="auto"/>
        <w:ind w:left="720" w:hanging="360"/>
        <w:jc w:val="both"/>
        <w:rPr>
          <w:rFonts w:ascii="Jost" w:cs="Jost" w:eastAsia="Jost" w:hAnsi="Jost"/>
          <w:sz w:val="24"/>
          <w:szCs w:val="24"/>
        </w:rPr>
      </w:pPr>
      <w:r w:rsidDel="00000000" w:rsidR="00000000" w:rsidRPr="00000000">
        <w:rPr>
          <w:rFonts w:ascii="Jost" w:cs="Jost" w:eastAsia="Jost" w:hAnsi="Jost"/>
          <w:sz w:val="24"/>
          <w:szCs w:val="24"/>
          <w:rtl w:val="0"/>
        </w:rPr>
        <w:t xml:space="preserve">Emprunter livres ( documents / DVD / Magazines / Romans / BD Ados/ jeunesse), réparations de livres, animation pour les enfants</w:t>
      </w:r>
    </w:p>
    <w:p w:rsidR="00000000" w:rsidDel="00000000" w:rsidP="00000000" w:rsidRDefault="00000000" w:rsidRPr="00000000" w14:paraId="00000051">
      <w:pPr>
        <w:keepNext w:val="1"/>
        <w:keepLines w:val="1"/>
        <w:numPr>
          <w:ilvl w:val="0"/>
          <w:numId w:val="1"/>
        </w:numPr>
        <w:spacing w:after="0" w:before="0" w:lineRule="auto"/>
        <w:ind w:left="720" w:hanging="360"/>
        <w:jc w:val="both"/>
        <w:rPr>
          <w:rFonts w:ascii="Jost" w:cs="Jost" w:eastAsia="Jost" w:hAnsi="Jost"/>
          <w:sz w:val="24"/>
          <w:szCs w:val="24"/>
        </w:rPr>
      </w:pPr>
      <w:r w:rsidDel="00000000" w:rsidR="00000000" w:rsidRPr="00000000">
        <w:rPr>
          <w:rFonts w:ascii="Jost" w:cs="Jost" w:eastAsia="Jost" w:hAnsi="Jost"/>
          <w:sz w:val="24"/>
          <w:szCs w:val="24"/>
          <w:rtl w:val="0"/>
        </w:rPr>
        <w:t xml:space="preserve">Service public</w:t>
      </w:r>
    </w:p>
    <w:p w:rsidR="00000000" w:rsidDel="00000000" w:rsidP="00000000" w:rsidRDefault="00000000" w:rsidRPr="00000000" w14:paraId="00000052">
      <w:pPr>
        <w:keepNext w:val="1"/>
        <w:keepLines w:val="1"/>
        <w:numPr>
          <w:ilvl w:val="0"/>
          <w:numId w:val="1"/>
        </w:numPr>
        <w:spacing w:after="0" w:before="0" w:lineRule="auto"/>
        <w:ind w:left="720" w:hanging="360"/>
        <w:jc w:val="both"/>
        <w:rPr>
          <w:b w:val="1"/>
          <w:sz w:val="24"/>
          <w:szCs w:val="24"/>
        </w:rPr>
      </w:pPr>
      <w:r w:rsidDel="00000000" w:rsidR="00000000" w:rsidRPr="00000000">
        <w:rPr>
          <w:rFonts w:ascii="Jost" w:cs="Jost" w:eastAsia="Jost" w:hAnsi="Jost"/>
          <w:b w:val="1"/>
          <w:sz w:val="24"/>
          <w:szCs w:val="24"/>
          <w:u w:val="single"/>
          <w:rtl w:val="0"/>
        </w:rPr>
        <w:t xml:space="preserve">Affluence : </w:t>
      </w:r>
      <w:r w:rsidDel="00000000" w:rsidR="00000000" w:rsidRPr="00000000">
        <w:rPr>
          <w:rFonts w:ascii="Jost" w:cs="Jost" w:eastAsia="Jost" w:hAnsi="Jost"/>
          <w:sz w:val="24"/>
          <w:szCs w:val="24"/>
          <w:rtl w:val="0"/>
        </w:rPr>
        <w:t xml:space="preserve">Pic de l’affluence le mercredi aprem ( famille avec enfant )</w:t>
      </w:r>
    </w:p>
    <w:p w:rsidR="00000000" w:rsidDel="00000000" w:rsidP="00000000" w:rsidRDefault="00000000" w:rsidRPr="00000000" w14:paraId="00000053">
      <w:pPr>
        <w:keepNext w:val="1"/>
        <w:keepLines w:val="1"/>
        <w:numPr>
          <w:ilvl w:val="0"/>
          <w:numId w:val="1"/>
        </w:numPr>
        <w:spacing w:after="0" w:before="0" w:lineRule="auto"/>
        <w:ind w:left="720" w:hanging="360"/>
        <w:jc w:val="both"/>
        <w:rPr>
          <w:rFonts w:ascii="Jost" w:cs="Jost" w:eastAsia="Jost" w:hAnsi="Jost"/>
          <w:sz w:val="24"/>
          <w:szCs w:val="24"/>
        </w:rPr>
      </w:pPr>
      <w:r w:rsidDel="00000000" w:rsidR="00000000" w:rsidRPr="00000000">
        <w:rPr>
          <w:rFonts w:ascii="Jost" w:cs="Jost" w:eastAsia="Jost" w:hAnsi="Jost"/>
          <w:sz w:val="24"/>
          <w:szCs w:val="24"/>
          <w:rtl w:val="0"/>
        </w:rPr>
        <w:t xml:space="preserve">Autre pic le samedi : Famille avec enfant</w:t>
      </w:r>
    </w:p>
    <w:p w:rsidR="00000000" w:rsidDel="00000000" w:rsidP="00000000" w:rsidRDefault="00000000" w:rsidRPr="00000000" w14:paraId="00000054">
      <w:pPr>
        <w:keepNext w:val="1"/>
        <w:keepLines w:val="1"/>
        <w:numPr>
          <w:ilvl w:val="0"/>
          <w:numId w:val="1"/>
        </w:numPr>
        <w:spacing w:after="0" w:before="0" w:lineRule="auto"/>
        <w:ind w:left="720" w:hanging="360"/>
        <w:jc w:val="both"/>
        <w:rPr>
          <w:rFonts w:ascii="Jost" w:cs="Jost" w:eastAsia="Jost" w:hAnsi="Jost"/>
          <w:sz w:val="24"/>
          <w:szCs w:val="24"/>
        </w:rPr>
      </w:pPr>
      <w:r w:rsidDel="00000000" w:rsidR="00000000" w:rsidRPr="00000000">
        <w:rPr>
          <w:rFonts w:ascii="Jost" w:cs="Jost" w:eastAsia="Jost" w:hAnsi="Jost"/>
          <w:sz w:val="24"/>
          <w:szCs w:val="24"/>
          <w:rtl w:val="0"/>
        </w:rPr>
        <w:t xml:space="preserve">Grosse affluence de septembre jusqu'à juin ( période scolaire)</w:t>
      </w:r>
    </w:p>
    <w:p w:rsidR="00000000" w:rsidDel="00000000" w:rsidP="00000000" w:rsidRDefault="00000000" w:rsidRPr="00000000" w14:paraId="00000055">
      <w:pPr>
        <w:keepNext w:val="1"/>
        <w:keepLines w:val="1"/>
        <w:numPr>
          <w:ilvl w:val="0"/>
          <w:numId w:val="1"/>
        </w:numPr>
        <w:spacing w:after="0" w:before="0" w:lineRule="auto"/>
        <w:ind w:left="720" w:hanging="360"/>
        <w:jc w:val="both"/>
        <w:rPr>
          <w:rFonts w:ascii="Jost" w:cs="Jost" w:eastAsia="Jost" w:hAnsi="Jost"/>
          <w:sz w:val="24"/>
          <w:szCs w:val="24"/>
        </w:rPr>
      </w:pPr>
      <w:r w:rsidDel="00000000" w:rsidR="00000000" w:rsidRPr="00000000">
        <w:rPr>
          <w:rFonts w:ascii="Jost" w:cs="Jost" w:eastAsia="Jost" w:hAnsi="Jost"/>
          <w:sz w:val="24"/>
          <w:szCs w:val="24"/>
          <w:rtl w:val="0"/>
        </w:rPr>
        <w:t xml:space="preserve">Faible affluence en saison estival </w:t>
      </w:r>
    </w:p>
    <w:p w:rsidR="00000000" w:rsidDel="00000000" w:rsidP="00000000" w:rsidRDefault="00000000" w:rsidRPr="00000000" w14:paraId="00000056">
      <w:pPr>
        <w:keepNext w:val="1"/>
        <w:keepLines w:val="1"/>
        <w:numPr>
          <w:ilvl w:val="0"/>
          <w:numId w:val="1"/>
        </w:numPr>
        <w:spacing w:after="0" w:before="0" w:lineRule="auto"/>
        <w:ind w:left="720" w:hanging="360"/>
        <w:jc w:val="both"/>
        <w:rPr>
          <w:rFonts w:ascii="Jost" w:cs="Jost" w:eastAsia="Jost" w:hAnsi="Jost"/>
          <w:sz w:val="24"/>
          <w:szCs w:val="24"/>
        </w:rPr>
      </w:pPr>
      <w:r w:rsidDel="00000000" w:rsidR="00000000" w:rsidRPr="00000000">
        <w:rPr>
          <w:rFonts w:ascii="Jost" w:cs="Jost" w:eastAsia="Jost" w:hAnsi="Jost"/>
          <w:sz w:val="24"/>
          <w:szCs w:val="24"/>
          <w:rtl w:val="0"/>
        </w:rPr>
        <w:t xml:space="preserve">Le public de la médiathèque est principalement des retraités ainsi que des écoles maternelles jusqu’au collège, où des classes viennent à la médiathèque</w:t>
      </w:r>
    </w:p>
    <w:p w:rsidR="00000000" w:rsidDel="00000000" w:rsidP="00000000" w:rsidRDefault="00000000" w:rsidRPr="00000000" w14:paraId="00000057">
      <w:pPr>
        <w:keepNext w:val="1"/>
        <w:keepLines w:val="1"/>
        <w:numPr>
          <w:ilvl w:val="0"/>
          <w:numId w:val="1"/>
        </w:numPr>
        <w:spacing w:after="0" w:before="0" w:lineRule="auto"/>
        <w:ind w:left="720" w:hanging="360"/>
        <w:jc w:val="both"/>
        <w:rPr>
          <w:rFonts w:ascii="Jost" w:cs="Jost" w:eastAsia="Jost" w:hAnsi="Jost"/>
          <w:sz w:val="24"/>
          <w:szCs w:val="24"/>
        </w:rPr>
      </w:pPr>
      <w:r w:rsidDel="00000000" w:rsidR="00000000" w:rsidRPr="00000000">
        <w:rPr>
          <w:rFonts w:ascii="Jost" w:cs="Jost" w:eastAsia="Jost" w:hAnsi="Jost"/>
          <w:sz w:val="24"/>
          <w:szCs w:val="24"/>
          <w:rtl w:val="0"/>
        </w:rPr>
        <w:t xml:space="preserve">1000 documents qui sortent -&gt; Emprunt</w:t>
      </w:r>
    </w:p>
    <w:p w:rsidR="00000000" w:rsidDel="00000000" w:rsidP="00000000" w:rsidRDefault="00000000" w:rsidRPr="00000000" w14:paraId="00000058">
      <w:pPr>
        <w:keepNext w:val="1"/>
        <w:keepLines w:val="1"/>
        <w:numPr>
          <w:ilvl w:val="0"/>
          <w:numId w:val="1"/>
        </w:numPr>
        <w:spacing w:after="0" w:before="0" w:lineRule="auto"/>
        <w:ind w:left="720" w:hanging="360"/>
        <w:jc w:val="both"/>
        <w:rPr>
          <w:rFonts w:ascii="Jost" w:cs="Jost" w:eastAsia="Jost" w:hAnsi="Jost"/>
          <w:sz w:val="24"/>
          <w:szCs w:val="24"/>
        </w:rPr>
      </w:pPr>
      <w:r w:rsidDel="00000000" w:rsidR="00000000" w:rsidRPr="00000000">
        <w:rPr>
          <w:rFonts w:ascii="Jost" w:cs="Jost" w:eastAsia="Jost" w:hAnsi="Jost"/>
          <w:sz w:val="24"/>
          <w:szCs w:val="24"/>
          <w:rtl w:val="0"/>
        </w:rPr>
        <w:t xml:space="preserve">800 retours de documents</w:t>
      </w:r>
    </w:p>
    <w:p w:rsidR="00000000" w:rsidDel="00000000" w:rsidP="00000000" w:rsidRDefault="00000000" w:rsidRPr="00000000" w14:paraId="00000059">
      <w:pPr>
        <w:keepNext w:val="1"/>
        <w:keepLines w:val="1"/>
        <w:numPr>
          <w:ilvl w:val="0"/>
          <w:numId w:val="1"/>
        </w:numPr>
        <w:spacing w:after="0" w:before="0" w:lineRule="auto"/>
        <w:ind w:left="720" w:hanging="360"/>
        <w:jc w:val="both"/>
        <w:rPr>
          <w:rFonts w:ascii="Jost" w:cs="Jost" w:eastAsia="Jost" w:hAnsi="Jost"/>
          <w:sz w:val="24"/>
          <w:szCs w:val="24"/>
        </w:rPr>
      </w:pPr>
      <w:r w:rsidDel="00000000" w:rsidR="00000000" w:rsidRPr="00000000">
        <w:rPr>
          <w:rFonts w:ascii="Jost" w:cs="Jost" w:eastAsia="Jost" w:hAnsi="Jost"/>
          <w:sz w:val="24"/>
          <w:szCs w:val="24"/>
          <w:rtl w:val="0"/>
        </w:rPr>
        <w:t xml:space="preserve">L’agrandissement de la médiathèque à eu lieu en 1999</w:t>
      </w:r>
    </w:p>
    <w:p w:rsidR="00000000" w:rsidDel="00000000" w:rsidP="00000000" w:rsidRDefault="00000000" w:rsidRPr="00000000" w14:paraId="0000005A">
      <w:pPr>
        <w:keepNext w:val="1"/>
        <w:keepLines w:val="1"/>
        <w:numPr>
          <w:ilvl w:val="0"/>
          <w:numId w:val="1"/>
        </w:numPr>
        <w:spacing w:after="0" w:before="0" w:lineRule="auto"/>
        <w:ind w:left="720" w:hanging="360"/>
        <w:jc w:val="both"/>
        <w:rPr>
          <w:rFonts w:ascii="Jost" w:cs="Jost" w:eastAsia="Jost" w:hAnsi="Jost"/>
          <w:sz w:val="24"/>
          <w:szCs w:val="24"/>
        </w:rPr>
      </w:pPr>
      <w:r w:rsidDel="00000000" w:rsidR="00000000" w:rsidRPr="00000000">
        <w:rPr>
          <w:rFonts w:ascii="Jost" w:cs="Jost" w:eastAsia="Jost" w:hAnsi="Jost"/>
          <w:sz w:val="24"/>
          <w:szCs w:val="24"/>
          <w:rtl w:val="0"/>
        </w:rPr>
        <w:t xml:space="preserve">Pas de nouvel agrandissement de prévu pour le moment</w:t>
      </w:r>
      <w:r w:rsidDel="00000000" w:rsidR="00000000" w:rsidRPr="00000000">
        <w:rPr>
          <w:rtl w:val="0"/>
        </w:rPr>
      </w:r>
    </w:p>
    <w:p w:rsidR="00000000" w:rsidDel="00000000" w:rsidP="00000000" w:rsidRDefault="00000000" w:rsidRPr="00000000" w14:paraId="0000005B">
      <w:pPr>
        <w:spacing w:after="0" w:before="0" w:lineRule="auto"/>
        <w:ind w:left="0" w:firstLine="0"/>
        <w:jc w:val="both"/>
        <w:rPr>
          <w:rFonts w:ascii="Jost" w:cs="Jost" w:eastAsia="Jost" w:hAnsi="Jost"/>
          <w:sz w:val="24"/>
          <w:szCs w:val="24"/>
        </w:rPr>
      </w:pPr>
      <w:r w:rsidDel="00000000" w:rsidR="00000000" w:rsidRPr="00000000">
        <w:rPr>
          <w:rtl w:val="0"/>
        </w:rPr>
      </w:r>
    </w:p>
    <w:p w:rsidR="00000000" w:rsidDel="00000000" w:rsidP="00000000" w:rsidRDefault="00000000" w:rsidRPr="00000000" w14:paraId="0000005C">
      <w:pPr>
        <w:spacing w:after="0" w:before="0" w:lineRule="auto"/>
        <w:ind w:left="0" w:firstLine="0"/>
        <w:jc w:val="both"/>
        <w:rPr>
          <w:rFonts w:ascii="Jost" w:cs="Jost" w:eastAsia="Jost" w:hAnsi="Jost"/>
          <w:sz w:val="24"/>
          <w:szCs w:val="24"/>
        </w:rPr>
      </w:pPr>
      <w:r w:rsidDel="00000000" w:rsidR="00000000" w:rsidRPr="00000000">
        <w:rPr>
          <w:rtl w:val="0"/>
        </w:rPr>
      </w:r>
    </w:p>
    <w:p w:rsidR="00000000" w:rsidDel="00000000" w:rsidP="00000000" w:rsidRDefault="00000000" w:rsidRPr="00000000" w14:paraId="0000005D">
      <w:pPr>
        <w:spacing w:after="0" w:before="0" w:lineRule="auto"/>
        <w:ind w:left="0" w:firstLine="0"/>
        <w:jc w:val="both"/>
        <w:rPr>
          <w:rFonts w:ascii="Jost" w:cs="Jost" w:eastAsia="Jost" w:hAnsi="Jost"/>
          <w:sz w:val="24"/>
          <w:szCs w:val="24"/>
        </w:rPr>
      </w:pPr>
      <w:r w:rsidDel="00000000" w:rsidR="00000000" w:rsidRPr="00000000">
        <w:rPr>
          <w:rtl w:val="0"/>
        </w:rPr>
      </w:r>
    </w:p>
    <w:p w:rsidR="00000000" w:rsidDel="00000000" w:rsidP="00000000" w:rsidRDefault="00000000" w:rsidRPr="00000000" w14:paraId="0000005E">
      <w:pPr>
        <w:spacing w:after="0" w:before="0" w:lineRule="auto"/>
        <w:ind w:left="0" w:firstLine="0"/>
        <w:jc w:val="both"/>
        <w:rPr>
          <w:rFonts w:ascii="Jost" w:cs="Jost" w:eastAsia="Jost" w:hAnsi="Jost"/>
          <w:sz w:val="24"/>
          <w:szCs w:val="24"/>
        </w:rPr>
      </w:pPr>
      <w:r w:rsidDel="00000000" w:rsidR="00000000" w:rsidRPr="00000000">
        <w:rPr>
          <w:rtl w:val="0"/>
        </w:rPr>
      </w:r>
    </w:p>
    <w:p w:rsidR="00000000" w:rsidDel="00000000" w:rsidP="00000000" w:rsidRDefault="00000000" w:rsidRPr="00000000" w14:paraId="0000005F">
      <w:pPr>
        <w:spacing w:after="0" w:before="0" w:lineRule="auto"/>
        <w:ind w:left="0" w:firstLine="0"/>
        <w:jc w:val="both"/>
        <w:rPr>
          <w:rFonts w:ascii="Jost" w:cs="Jost" w:eastAsia="Jost" w:hAnsi="Jost"/>
          <w:sz w:val="24"/>
          <w:szCs w:val="24"/>
        </w:rPr>
      </w:pPr>
      <w:r w:rsidDel="00000000" w:rsidR="00000000" w:rsidRPr="00000000">
        <w:rPr>
          <w:rtl w:val="0"/>
        </w:rPr>
      </w:r>
    </w:p>
    <w:p w:rsidR="00000000" w:rsidDel="00000000" w:rsidP="00000000" w:rsidRDefault="00000000" w:rsidRPr="00000000" w14:paraId="00000060">
      <w:pPr>
        <w:spacing w:after="0" w:before="0" w:lineRule="auto"/>
        <w:ind w:left="0" w:firstLine="0"/>
        <w:jc w:val="both"/>
        <w:rPr>
          <w:rFonts w:ascii="Jost" w:cs="Jost" w:eastAsia="Jost" w:hAnsi="Jost"/>
          <w:sz w:val="24"/>
          <w:szCs w:val="24"/>
        </w:rPr>
      </w:pPr>
      <w:r w:rsidDel="00000000" w:rsidR="00000000" w:rsidRPr="00000000">
        <w:rPr>
          <w:rtl w:val="0"/>
        </w:rPr>
      </w:r>
    </w:p>
    <w:p w:rsidR="00000000" w:rsidDel="00000000" w:rsidP="00000000" w:rsidRDefault="00000000" w:rsidRPr="00000000" w14:paraId="00000061">
      <w:pPr>
        <w:spacing w:after="0" w:before="0" w:lineRule="auto"/>
        <w:ind w:left="0" w:firstLine="0"/>
        <w:jc w:val="both"/>
        <w:rPr>
          <w:rFonts w:ascii="Jost" w:cs="Jost" w:eastAsia="Jost" w:hAnsi="Jost"/>
          <w:sz w:val="24"/>
          <w:szCs w:val="24"/>
        </w:rPr>
      </w:pPr>
      <w:r w:rsidDel="00000000" w:rsidR="00000000" w:rsidRPr="00000000">
        <w:rPr>
          <w:rtl w:val="0"/>
        </w:rPr>
      </w:r>
    </w:p>
    <w:p w:rsidR="00000000" w:rsidDel="00000000" w:rsidP="00000000" w:rsidRDefault="00000000" w:rsidRPr="00000000" w14:paraId="00000062">
      <w:pPr>
        <w:spacing w:after="0" w:before="0" w:lineRule="auto"/>
        <w:ind w:left="0" w:firstLine="0"/>
        <w:jc w:val="both"/>
        <w:rPr>
          <w:rFonts w:ascii="Jost" w:cs="Jost" w:eastAsia="Jost" w:hAnsi="Jost"/>
          <w:sz w:val="24"/>
          <w:szCs w:val="24"/>
        </w:rPr>
      </w:pPr>
      <w:r w:rsidDel="00000000" w:rsidR="00000000" w:rsidRPr="00000000">
        <w:rPr>
          <w:rtl w:val="0"/>
        </w:rPr>
      </w:r>
    </w:p>
    <w:p w:rsidR="00000000" w:rsidDel="00000000" w:rsidP="00000000" w:rsidRDefault="00000000" w:rsidRPr="00000000" w14:paraId="00000063">
      <w:pPr>
        <w:spacing w:after="0" w:before="0" w:lineRule="auto"/>
        <w:ind w:left="0" w:firstLine="0"/>
        <w:jc w:val="both"/>
        <w:rPr>
          <w:rFonts w:ascii="Jost" w:cs="Jost" w:eastAsia="Jost" w:hAnsi="Jost"/>
          <w:sz w:val="24"/>
          <w:szCs w:val="24"/>
        </w:rPr>
      </w:pPr>
      <w:r w:rsidDel="00000000" w:rsidR="00000000" w:rsidRPr="00000000">
        <w:rPr>
          <w:rtl w:val="0"/>
        </w:rPr>
      </w:r>
    </w:p>
    <w:p w:rsidR="00000000" w:rsidDel="00000000" w:rsidP="00000000" w:rsidRDefault="00000000" w:rsidRPr="00000000" w14:paraId="00000064">
      <w:pPr>
        <w:spacing w:after="0" w:before="0" w:lineRule="auto"/>
        <w:ind w:left="0" w:firstLine="0"/>
        <w:jc w:val="both"/>
        <w:rPr>
          <w:rFonts w:ascii="Jost" w:cs="Jost" w:eastAsia="Jost" w:hAnsi="Jost"/>
          <w:sz w:val="24"/>
          <w:szCs w:val="24"/>
        </w:rPr>
      </w:pPr>
      <w:r w:rsidDel="00000000" w:rsidR="00000000" w:rsidRPr="00000000">
        <w:rPr>
          <w:rtl w:val="0"/>
        </w:rPr>
      </w:r>
    </w:p>
    <w:p w:rsidR="00000000" w:rsidDel="00000000" w:rsidP="00000000" w:rsidRDefault="00000000" w:rsidRPr="00000000" w14:paraId="00000065">
      <w:pPr>
        <w:spacing w:after="0" w:before="0" w:lineRule="auto"/>
        <w:ind w:left="0" w:firstLine="0"/>
        <w:jc w:val="both"/>
        <w:rPr>
          <w:rFonts w:ascii="Jost" w:cs="Jost" w:eastAsia="Jost" w:hAnsi="Jost"/>
          <w:sz w:val="24"/>
          <w:szCs w:val="24"/>
        </w:rPr>
      </w:pPr>
      <w:r w:rsidDel="00000000" w:rsidR="00000000" w:rsidRPr="00000000">
        <w:rPr>
          <w:rtl w:val="0"/>
        </w:rPr>
      </w:r>
    </w:p>
    <w:p w:rsidR="00000000" w:rsidDel="00000000" w:rsidP="00000000" w:rsidRDefault="00000000" w:rsidRPr="00000000" w14:paraId="00000066">
      <w:pPr>
        <w:spacing w:after="0" w:before="0" w:lineRule="auto"/>
        <w:ind w:left="0" w:firstLine="0"/>
        <w:jc w:val="both"/>
        <w:rPr>
          <w:rFonts w:ascii="Jost" w:cs="Jost" w:eastAsia="Jost" w:hAnsi="Jost"/>
          <w:sz w:val="24"/>
          <w:szCs w:val="24"/>
        </w:rPr>
      </w:pPr>
      <w:r w:rsidDel="00000000" w:rsidR="00000000" w:rsidRPr="00000000">
        <w:rPr>
          <w:rtl w:val="0"/>
        </w:rPr>
      </w:r>
    </w:p>
    <w:p w:rsidR="00000000" w:rsidDel="00000000" w:rsidP="00000000" w:rsidRDefault="00000000" w:rsidRPr="00000000" w14:paraId="00000067">
      <w:pPr>
        <w:spacing w:after="0" w:before="0" w:lineRule="auto"/>
        <w:ind w:left="0" w:firstLine="0"/>
        <w:jc w:val="both"/>
        <w:rPr>
          <w:rFonts w:ascii="Jost" w:cs="Jost" w:eastAsia="Jost" w:hAnsi="Jost"/>
          <w:sz w:val="24"/>
          <w:szCs w:val="24"/>
        </w:rPr>
      </w:pPr>
      <w:r w:rsidDel="00000000" w:rsidR="00000000" w:rsidRPr="00000000">
        <w:rPr>
          <w:rtl w:val="0"/>
        </w:rPr>
      </w:r>
    </w:p>
    <w:p w:rsidR="00000000" w:rsidDel="00000000" w:rsidP="00000000" w:rsidRDefault="00000000" w:rsidRPr="00000000" w14:paraId="00000068">
      <w:pPr>
        <w:spacing w:after="0" w:before="0" w:lineRule="auto"/>
        <w:ind w:left="0" w:firstLine="0"/>
        <w:jc w:val="both"/>
        <w:rPr>
          <w:rFonts w:ascii="Jost" w:cs="Jost" w:eastAsia="Jost" w:hAnsi="Jost"/>
          <w:sz w:val="24"/>
          <w:szCs w:val="24"/>
        </w:rPr>
      </w:pPr>
      <w:r w:rsidDel="00000000" w:rsidR="00000000" w:rsidRPr="00000000">
        <w:rPr>
          <w:rtl w:val="0"/>
        </w:rPr>
      </w:r>
    </w:p>
    <w:p w:rsidR="00000000" w:rsidDel="00000000" w:rsidP="00000000" w:rsidRDefault="00000000" w:rsidRPr="00000000" w14:paraId="00000069">
      <w:pPr>
        <w:spacing w:after="0" w:before="0" w:lineRule="auto"/>
        <w:ind w:left="0" w:firstLine="0"/>
        <w:jc w:val="both"/>
        <w:rPr>
          <w:rFonts w:ascii="Jost" w:cs="Jost" w:eastAsia="Jost" w:hAnsi="Jost"/>
          <w:sz w:val="24"/>
          <w:szCs w:val="24"/>
        </w:rPr>
      </w:pPr>
      <w:r w:rsidDel="00000000" w:rsidR="00000000" w:rsidRPr="00000000">
        <w:rPr>
          <w:rtl w:val="0"/>
        </w:rPr>
      </w:r>
    </w:p>
    <w:p w:rsidR="00000000" w:rsidDel="00000000" w:rsidP="00000000" w:rsidRDefault="00000000" w:rsidRPr="00000000" w14:paraId="0000006A">
      <w:pPr>
        <w:spacing w:after="0" w:before="0" w:lineRule="auto"/>
        <w:ind w:left="0" w:firstLine="0"/>
        <w:jc w:val="both"/>
        <w:rPr>
          <w:rFonts w:ascii="Jost" w:cs="Jost" w:eastAsia="Jost" w:hAnsi="Jost"/>
          <w:sz w:val="24"/>
          <w:szCs w:val="24"/>
        </w:rPr>
      </w:pPr>
      <w:r w:rsidDel="00000000" w:rsidR="00000000" w:rsidRPr="00000000">
        <w:rPr>
          <w:rtl w:val="0"/>
        </w:rPr>
      </w:r>
    </w:p>
    <w:p w:rsidR="00000000" w:rsidDel="00000000" w:rsidP="00000000" w:rsidRDefault="00000000" w:rsidRPr="00000000" w14:paraId="0000006B">
      <w:pPr>
        <w:spacing w:after="0" w:before="0" w:lineRule="auto"/>
        <w:ind w:left="0" w:firstLine="0"/>
        <w:jc w:val="both"/>
        <w:rPr>
          <w:rFonts w:ascii="Jost" w:cs="Jost" w:eastAsia="Jost" w:hAnsi="Jost"/>
          <w:sz w:val="24"/>
          <w:szCs w:val="24"/>
        </w:rPr>
      </w:pPr>
      <w:r w:rsidDel="00000000" w:rsidR="00000000" w:rsidRPr="00000000">
        <w:rPr>
          <w:rtl w:val="0"/>
        </w:rPr>
      </w:r>
    </w:p>
    <w:p w:rsidR="00000000" w:rsidDel="00000000" w:rsidP="00000000" w:rsidRDefault="00000000" w:rsidRPr="00000000" w14:paraId="0000006C">
      <w:pPr>
        <w:spacing w:after="0" w:before="0" w:lineRule="auto"/>
        <w:ind w:left="0" w:firstLine="0"/>
        <w:jc w:val="both"/>
        <w:rPr>
          <w:rFonts w:ascii="Jost" w:cs="Jost" w:eastAsia="Jost" w:hAnsi="Jost"/>
          <w:sz w:val="24"/>
          <w:szCs w:val="24"/>
        </w:rPr>
      </w:pPr>
      <w:r w:rsidDel="00000000" w:rsidR="00000000" w:rsidRPr="00000000">
        <w:rPr>
          <w:rtl w:val="0"/>
        </w:rPr>
      </w:r>
    </w:p>
    <w:p w:rsidR="00000000" w:rsidDel="00000000" w:rsidP="00000000" w:rsidRDefault="00000000" w:rsidRPr="00000000" w14:paraId="0000006D">
      <w:pPr>
        <w:spacing w:after="0" w:before="0" w:lineRule="auto"/>
        <w:ind w:left="0" w:firstLine="0"/>
        <w:jc w:val="both"/>
        <w:rPr>
          <w:rFonts w:ascii="Jost" w:cs="Jost" w:eastAsia="Jost" w:hAnsi="Jost"/>
          <w:sz w:val="24"/>
          <w:szCs w:val="24"/>
        </w:rPr>
      </w:pPr>
      <w:r w:rsidDel="00000000" w:rsidR="00000000" w:rsidRPr="00000000">
        <w:rPr>
          <w:rtl w:val="0"/>
        </w:rPr>
      </w:r>
    </w:p>
    <w:p w:rsidR="00000000" w:rsidDel="00000000" w:rsidP="00000000" w:rsidRDefault="00000000" w:rsidRPr="00000000" w14:paraId="0000006E">
      <w:pPr>
        <w:spacing w:after="0" w:before="0" w:lineRule="auto"/>
        <w:ind w:left="0" w:firstLine="0"/>
        <w:jc w:val="both"/>
        <w:rPr>
          <w:rFonts w:ascii="Jost" w:cs="Jost" w:eastAsia="Jost" w:hAnsi="Jost"/>
          <w:sz w:val="24"/>
          <w:szCs w:val="24"/>
        </w:rPr>
      </w:pPr>
      <w:r w:rsidDel="00000000" w:rsidR="00000000" w:rsidRPr="00000000">
        <w:rPr>
          <w:rtl w:val="0"/>
        </w:rPr>
      </w:r>
    </w:p>
    <w:p w:rsidR="00000000" w:rsidDel="00000000" w:rsidP="00000000" w:rsidRDefault="00000000" w:rsidRPr="00000000" w14:paraId="0000006F">
      <w:pPr>
        <w:spacing w:after="0" w:before="0" w:lineRule="auto"/>
        <w:ind w:left="0" w:firstLine="0"/>
        <w:jc w:val="both"/>
        <w:rPr>
          <w:rFonts w:ascii="Jost" w:cs="Jost" w:eastAsia="Jost" w:hAnsi="Jost"/>
          <w:sz w:val="24"/>
          <w:szCs w:val="24"/>
        </w:rPr>
      </w:pPr>
      <w:r w:rsidDel="00000000" w:rsidR="00000000" w:rsidRPr="00000000">
        <w:rPr>
          <w:rtl w:val="0"/>
        </w:rPr>
      </w:r>
    </w:p>
    <w:sectPr>
      <w:pgSz w:h="16838" w:w="11906" w:orient="portrait"/>
      <w:pgMar w:bottom="935.4330708661417" w:top="935.4330708661417" w:left="935.4330708661417" w:right="935.433070866141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Jost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Jos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lineRule="auto"/>
      <w:ind w:left="720" w:hanging="360"/>
      <w:jc w:val="both"/>
    </w:pPr>
    <w:rPr>
      <w:rFonts w:ascii="Jost" w:cs="Jost" w:eastAsia="Jost" w:hAnsi="Jost"/>
      <w:b w:val="1"/>
      <w:sz w:val="26"/>
      <w:szCs w:val="26"/>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2.png"/><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3.png"/><Relationship Id="rId8"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JostLight-regular.ttf"/><Relationship Id="rId2" Type="http://schemas.openxmlformats.org/officeDocument/2006/relationships/font" Target="fonts/JostLight-bold.ttf"/><Relationship Id="rId3" Type="http://schemas.openxmlformats.org/officeDocument/2006/relationships/font" Target="fonts/JostLight-italic.ttf"/><Relationship Id="rId4" Type="http://schemas.openxmlformats.org/officeDocument/2006/relationships/font" Target="fonts/JostLight-boldItalic.ttf"/><Relationship Id="rId5" Type="http://schemas.openxmlformats.org/officeDocument/2006/relationships/font" Target="fonts/Jost-regular.ttf"/><Relationship Id="rId6" Type="http://schemas.openxmlformats.org/officeDocument/2006/relationships/font" Target="fonts/Jost-bold.ttf"/><Relationship Id="rId7" Type="http://schemas.openxmlformats.org/officeDocument/2006/relationships/font" Target="fonts/Jost-italic.ttf"/><Relationship Id="rId8" Type="http://schemas.openxmlformats.org/officeDocument/2006/relationships/font" Target="fonts/Jos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